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4EA" w:rsidRDefault="00265E1F">
      <w:pPr>
        <w:spacing w:after="0"/>
        <w:jc w:val="center"/>
        <w:rPr>
          <w:rFonts w:ascii="Arial" w:eastAsia="Arial" w:hAnsi="Arial" w:cs="Arial"/>
          <w:b/>
          <w:sz w:val="32"/>
          <w:szCs w:val="32"/>
          <w:lang w:val="fr-FR" w:eastAsia="en-US"/>
        </w:rPr>
      </w:pPr>
      <w:r>
        <w:rPr>
          <w:rFonts w:ascii="Arial" w:eastAsia="Arial" w:hAnsi="Arial" w:cs="Arial"/>
          <w:b/>
          <w:sz w:val="32"/>
          <w:szCs w:val="32"/>
          <w:lang w:val="fr-FR" w:eastAsia="en-US"/>
        </w:rPr>
        <w:t>DOCUMENT D’INFORMATIONS CLÉS</w:t>
      </w:r>
    </w:p>
    <w:p w:rsidR="00CA74EA" w:rsidRPr="00636B16" w:rsidRDefault="00CA74EA">
      <w:pPr>
        <w:spacing w:after="0"/>
        <w:jc w:val="center"/>
        <w:rPr>
          <w:rFonts w:ascii="Arial" w:eastAsia="Arial" w:hAnsi="Arial" w:cs="Arial"/>
          <w:sz w:val="8"/>
          <w:szCs w:val="8"/>
          <w:lang w:val="fr-FR" w:eastAsia="en-US"/>
        </w:rPr>
      </w:pPr>
    </w:p>
    <w:p w:rsidR="00CA74EA" w:rsidRDefault="00265E1F">
      <w:pPr>
        <w:shd w:val="clear" w:color="auto" w:fill="004494"/>
        <w:tabs>
          <w:tab w:val="left" w:pos="3190"/>
          <w:tab w:val="center" w:pos="5556"/>
        </w:tabs>
        <w:spacing w:after="0"/>
        <w:jc w:val="center"/>
        <w:rPr>
          <w:rFonts w:ascii="Arial" w:eastAsia="Arial" w:hAnsi="Arial" w:cs="Arial"/>
          <w:b/>
          <w:color w:val="FFFFFF"/>
          <w:sz w:val="32"/>
          <w:szCs w:val="32"/>
          <w:lang w:val="fr-FR" w:eastAsia="en-US"/>
        </w:rPr>
      </w:pPr>
      <w:r>
        <w:rPr>
          <w:rFonts w:ascii="Arial" w:eastAsia="Arial" w:hAnsi="Arial" w:cs="Arial"/>
          <w:b/>
          <w:noProof/>
          <w:color w:val="FFFFFF"/>
          <w:sz w:val="32"/>
          <w:szCs w:val="32"/>
          <w:lang w:val="fr-FR" w:eastAsia="en-US"/>
        </w:rPr>
        <w:t>GSD EUROPE</w:t>
      </w:r>
    </w:p>
    <w:p w:rsidR="00CA74EA" w:rsidRDefault="00CA74EA">
      <w:pPr>
        <w:spacing w:after="0"/>
        <w:jc w:val="both"/>
        <w:rPr>
          <w:rFonts w:ascii="Arial" w:eastAsia="Arial" w:hAnsi="Arial" w:cs="Arial"/>
          <w:color w:val="FFFFFF"/>
          <w:sz w:val="10"/>
          <w:szCs w:val="10"/>
          <w:lang w:val="fr-FR" w:eastAsia="en-US"/>
        </w:rPr>
      </w:pP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OBJECTIF</w:t>
      </w:r>
    </w:p>
    <w:p w:rsidR="00E938C0" w:rsidRPr="00E938C0" w:rsidRDefault="00E938C0">
      <w:pPr>
        <w:spacing w:after="0" w:line="240" w:lineRule="auto"/>
        <w:jc w:val="both"/>
        <w:rPr>
          <w:rFonts w:ascii="Arial" w:eastAsia="Arial" w:hAnsi="Arial" w:cs="Arial"/>
          <w:noProof/>
          <w:sz w:val="4"/>
          <w:szCs w:val="4"/>
          <w:lang w:val="fr-FR" w:eastAsia="en-US"/>
        </w:rPr>
      </w:pPr>
    </w:p>
    <w:p w:rsidR="00CA74EA" w:rsidRDefault="00265E1F">
      <w:p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Le présent document contient des informations essentielles sur le produit d’investissement. Il ne s’agit pas d’un document à caractère commercial. Ces informations vous sont fournies conformément à une obligation légale, afin de vous aider à comprendre en quoi consiste ce produit et quels risques, coûts, gains et pertes potentiels y sont associés, et de vous aider à le comparer à d’autres produits.</w:t>
      </w:r>
    </w:p>
    <w:p w:rsidR="00E938C0" w:rsidRPr="00AF08CE" w:rsidRDefault="00E938C0">
      <w:pPr>
        <w:spacing w:after="0" w:line="240" w:lineRule="auto"/>
        <w:jc w:val="both"/>
        <w:rPr>
          <w:rFonts w:ascii="Arial" w:eastAsia="Arial" w:hAnsi="Arial" w:cs="Arial"/>
          <w:noProof/>
          <w:sz w:val="8"/>
          <w:szCs w:val="8"/>
          <w:lang w:val="fr-FR" w:eastAsia="en-US"/>
        </w:rPr>
      </w:pP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PRODUIT</w:t>
      </w:r>
    </w:p>
    <w:p w:rsidR="00AF08CE" w:rsidRPr="00AF08CE" w:rsidRDefault="00AF08CE">
      <w:pPr>
        <w:spacing w:after="0" w:line="240" w:lineRule="auto"/>
        <w:jc w:val="both"/>
        <w:rPr>
          <w:rFonts w:ascii="Arial" w:eastAsia="Arial" w:hAnsi="Arial" w:cs="Arial"/>
          <w:noProof/>
          <w:sz w:val="6"/>
          <w:szCs w:val="6"/>
          <w:lang w:val="fr-FR" w:eastAsia="en-US"/>
        </w:rPr>
      </w:pP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GSD EUROPE</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FR0010591172</w:t>
      </w:r>
      <w:r>
        <w:rPr>
          <w:rFonts w:ascii="Arial" w:eastAsia="Arial" w:hAnsi="Arial" w:cs="Arial"/>
          <w:sz w:val="16"/>
          <w:szCs w:val="16"/>
          <w:lang w:val="fr-FR" w:eastAsia="en-US"/>
        </w:rPr>
        <w:t xml:space="preserve"> – Part </w:t>
      </w:r>
      <w:r>
        <w:rPr>
          <w:rFonts w:ascii="Arial" w:eastAsia="Arial" w:hAnsi="Arial" w:cs="Arial"/>
          <w:noProof/>
          <w:sz w:val="16"/>
          <w:szCs w:val="16"/>
          <w:lang w:val="fr-FR" w:eastAsia="en-US"/>
        </w:rPr>
        <w:t>C</w:t>
      </w:r>
    </w:p>
    <w:p w:rsidR="005C6FB8" w:rsidRPr="00AF08CE" w:rsidRDefault="005C6FB8">
      <w:pPr>
        <w:spacing w:after="0" w:line="240" w:lineRule="auto"/>
        <w:jc w:val="both"/>
        <w:rPr>
          <w:rFonts w:ascii="Arial" w:eastAsia="Arial" w:hAnsi="Arial" w:cs="Arial"/>
          <w:b/>
          <w:noProof/>
          <w:sz w:val="8"/>
          <w:szCs w:val="8"/>
          <w:lang w:val="fr-FR" w:eastAsia="en-US"/>
        </w:rPr>
      </w:pP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b/>
          <w:noProof/>
          <w:sz w:val="16"/>
          <w:szCs w:val="16"/>
          <w:lang w:val="fr-FR" w:eastAsia="en-US"/>
        </w:rPr>
        <w:t>OPCVM relevant de la directive européenne 2009/65/CE</w:t>
      </w:r>
    </w:p>
    <w:p w:rsidR="00CA74EA" w:rsidRPr="00790DC7" w:rsidRDefault="00265E1F">
      <w:pPr>
        <w:spacing w:after="0" w:line="240" w:lineRule="auto"/>
        <w:jc w:val="both"/>
        <w:rPr>
          <w:rFonts w:ascii="Arial" w:eastAsia="Arial" w:hAnsi="Arial" w:cs="Arial"/>
          <w:sz w:val="16"/>
          <w:szCs w:val="16"/>
          <w:lang w:val="fr-FR" w:eastAsia="en-US"/>
        </w:rPr>
      </w:pPr>
      <w:r w:rsidRPr="00790DC7">
        <w:rPr>
          <w:rFonts w:ascii="Arial" w:eastAsia="Arial" w:hAnsi="Arial" w:cs="Arial"/>
          <w:noProof/>
          <w:sz w:val="16"/>
          <w:szCs w:val="16"/>
          <w:lang w:val="fr-FR" w:eastAsia="en-US"/>
        </w:rPr>
        <w:t>GSD GESTION</w:t>
      </w:r>
    </w:p>
    <w:p w:rsidR="00C344A7" w:rsidRDefault="00636B16">
      <w:pPr>
        <w:spacing w:after="0" w:line="240" w:lineRule="auto"/>
        <w:jc w:val="both"/>
        <w:rPr>
          <w:rFonts w:ascii="Arial" w:eastAsia="Arial" w:hAnsi="Arial" w:cs="Arial"/>
          <w:noProof/>
          <w:sz w:val="16"/>
          <w:szCs w:val="16"/>
          <w:lang w:val="fr-FR" w:eastAsia="en-US"/>
        </w:rPr>
      </w:pPr>
      <w:hyperlink r:id="rId7" w:history="1">
        <w:r w:rsidR="00C344A7" w:rsidRPr="00BD7B6D">
          <w:rPr>
            <w:rStyle w:val="Lienhypertexte"/>
            <w:rFonts w:ascii="Arial" w:eastAsia="Arial" w:hAnsi="Arial" w:cs="Arial"/>
            <w:noProof/>
            <w:sz w:val="16"/>
            <w:szCs w:val="16"/>
            <w:lang w:val="fr-FR" w:eastAsia="en-US"/>
          </w:rPr>
          <w:t>https://www.gsdgestion.com</w:t>
        </w:r>
      </w:hyperlink>
      <w:r w:rsidR="00C344A7">
        <w:rPr>
          <w:rFonts w:ascii="Arial" w:eastAsia="Arial" w:hAnsi="Arial" w:cs="Arial"/>
          <w:noProof/>
          <w:sz w:val="16"/>
          <w:szCs w:val="16"/>
          <w:lang w:val="fr-FR" w:eastAsia="en-US"/>
        </w:rPr>
        <w:t xml:space="preserve"> ou appeler le 01 42 60 00 02 pour de plus amples informations.</w:t>
      </w:r>
    </w:p>
    <w:p w:rsidR="00AF08CE" w:rsidRDefault="00AF08CE">
      <w:pPr>
        <w:spacing w:after="0" w:line="240" w:lineRule="auto"/>
        <w:jc w:val="both"/>
        <w:rPr>
          <w:rFonts w:ascii="Arial" w:eastAsia="Arial" w:hAnsi="Arial" w:cs="Arial"/>
          <w:noProof/>
          <w:sz w:val="16"/>
          <w:szCs w:val="16"/>
          <w:lang w:val="fr-FR" w:eastAsia="en-US"/>
        </w:rPr>
      </w:pPr>
      <w:r w:rsidRPr="003844A5">
        <w:rPr>
          <w:rFonts w:ascii="Arial" w:eastAsia="Arial" w:hAnsi="Arial" w:cs="Arial"/>
          <w:sz w:val="16"/>
          <w:szCs w:val="16"/>
          <w:lang w:val="fr-FR" w:eastAsia="en-US"/>
        </w:rPr>
        <w:t>L’AMF est chargée du contrôle de GSD GESTION en ce qui concerne ce document d’informations clés.</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Cet OPCVM est agréé en France et réglementé par l’Autorité des Marchés Financiers (AMF).</w:t>
      </w:r>
    </w:p>
    <w:p w:rsidR="003844A5" w:rsidRPr="003844A5" w:rsidRDefault="003844A5" w:rsidP="003844A5">
      <w:pPr>
        <w:spacing w:after="0" w:line="240" w:lineRule="auto"/>
        <w:jc w:val="both"/>
        <w:rPr>
          <w:rFonts w:ascii="Arial" w:hAnsi="Arial" w:cs="Arial"/>
          <w:color w:val="003267"/>
          <w:sz w:val="16"/>
          <w:szCs w:val="16"/>
          <w:lang w:val="fr-FR" w:eastAsia="fr-FR"/>
        </w:rPr>
      </w:pPr>
      <w:r w:rsidRPr="003844A5">
        <w:rPr>
          <w:rFonts w:ascii="Arial" w:eastAsia="Arial" w:hAnsi="Arial" w:cs="Arial"/>
          <w:sz w:val="16"/>
          <w:szCs w:val="16"/>
          <w:lang w:val="fr-FR" w:eastAsia="en-US"/>
        </w:rPr>
        <w:t xml:space="preserve">GSD GESTION est une Société de gestion de portefeuille agréée </w:t>
      </w:r>
      <w:r w:rsidR="00AF08CE">
        <w:rPr>
          <w:rFonts w:ascii="Arial" w:eastAsia="Arial" w:hAnsi="Arial" w:cs="Arial"/>
          <w:sz w:val="16"/>
          <w:szCs w:val="16"/>
          <w:lang w:val="fr-FR" w:eastAsia="en-US"/>
        </w:rPr>
        <w:t xml:space="preserve">en France </w:t>
      </w:r>
      <w:r w:rsidRPr="003844A5">
        <w:rPr>
          <w:rFonts w:ascii="Arial" w:eastAsia="Arial" w:hAnsi="Arial" w:cs="Arial"/>
          <w:sz w:val="16"/>
          <w:szCs w:val="16"/>
          <w:lang w:val="fr-FR" w:eastAsia="en-US"/>
        </w:rPr>
        <w:t xml:space="preserve">en date </w:t>
      </w:r>
      <w:r w:rsidR="00C4122B" w:rsidRPr="000A5537">
        <w:rPr>
          <w:rFonts w:ascii="Arial" w:eastAsia="Arial" w:hAnsi="Arial" w:cs="Arial"/>
          <w:sz w:val="16"/>
          <w:szCs w:val="16"/>
          <w:lang w:val="fr-FR" w:eastAsia="en-US"/>
        </w:rPr>
        <w:t xml:space="preserve">du 15/10/1991 </w:t>
      </w:r>
      <w:r w:rsidRPr="000A5537">
        <w:rPr>
          <w:rFonts w:ascii="Arial" w:eastAsia="Arial" w:hAnsi="Arial" w:cs="Arial"/>
          <w:sz w:val="16"/>
          <w:szCs w:val="16"/>
          <w:lang w:val="fr-FR" w:eastAsia="en-US"/>
        </w:rPr>
        <w:t xml:space="preserve">sous le numéro GP92018 </w:t>
      </w:r>
      <w:r w:rsidRPr="003844A5">
        <w:rPr>
          <w:rFonts w:ascii="Arial" w:eastAsia="Arial" w:hAnsi="Arial" w:cs="Arial"/>
          <w:sz w:val="16"/>
          <w:szCs w:val="16"/>
          <w:lang w:val="fr-FR" w:eastAsia="en-US"/>
        </w:rPr>
        <w:t>et réglementée par l’AMF. </w:t>
      </w:r>
    </w:p>
    <w:p w:rsidR="00CA74EA" w:rsidRDefault="00AF08CE">
      <w:pPr>
        <w:spacing w:after="0" w:line="240" w:lineRule="auto"/>
        <w:jc w:val="both"/>
        <w:rPr>
          <w:rFonts w:ascii="Arial" w:eastAsia="Arial" w:hAnsi="Arial" w:cs="Arial"/>
          <w:noProof/>
          <w:sz w:val="16"/>
          <w:szCs w:val="16"/>
          <w:lang w:val="fr-FR" w:eastAsia="en-US"/>
        </w:rPr>
      </w:pPr>
      <w:r w:rsidRPr="00AF08CE">
        <w:rPr>
          <w:rFonts w:ascii="Arial" w:eastAsia="Arial" w:hAnsi="Arial" w:cs="Arial"/>
          <w:b/>
          <w:sz w:val="14"/>
          <w:szCs w:val="14"/>
          <w:lang w:val="fr-FR" w:eastAsia="en-US"/>
        </w:rPr>
        <w:t>Date de production du document d’informations clés :</w:t>
      </w:r>
      <w:r w:rsidRPr="00AF08CE">
        <w:rPr>
          <w:rFonts w:ascii="Arial" w:eastAsia="Arial" w:hAnsi="Arial" w:cs="Arial"/>
          <w:sz w:val="14"/>
          <w:szCs w:val="14"/>
          <w:lang w:val="fr-FR" w:eastAsia="en-US"/>
        </w:rPr>
        <w:t xml:space="preserve"> </w:t>
      </w:r>
      <w:r w:rsidR="00C4122B">
        <w:rPr>
          <w:rFonts w:ascii="Arial" w:eastAsia="Arial" w:hAnsi="Arial" w:cs="Arial"/>
          <w:noProof/>
          <w:sz w:val="16"/>
          <w:szCs w:val="16"/>
          <w:lang w:val="fr-FR" w:eastAsia="en-US"/>
        </w:rPr>
        <w:t>29/08</w:t>
      </w:r>
      <w:r w:rsidR="00265E1F">
        <w:rPr>
          <w:rFonts w:ascii="Arial" w:eastAsia="Arial" w:hAnsi="Arial" w:cs="Arial"/>
          <w:noProof/>
          <w:sz w:val="16"/>
          <w:szCs w:val="16"/>
          <w:lang w:val="fr-FR" w:eastAsia="en-US"/>
        </w:rPr>
        <w:t>/202</w:t>
      </w:r>
      <w:r w:rsidR="00C4122B">
        <w:rPr>
          <w:rFonts w:ascii="Arial" w:eastAsia="Arial" w:hAnsi="Arial" w:cs="Arial"/>
          <w:noProof/>
          <w:sz w:val="16"/>
          <w:szCs w:val="16"/>
          <w:lang w:val="fr-FR" w:eastAsia="en-US"/>
        </w:rPr>
        <w:t>4</w:t>
      </w:r>
      <w:r w:rsidR="003A14CE">
        <w:rPr>
          <w:rFonts w:ascii="Arial" w:eastAsia="Arial" w:hAnsi="Arial" w:cs="Arial"/>
          <w:noProof/>
          <w:sz w:val="16"/>
          <w:szCs w:val="16"/>
          <w:lang w:val="fr-FR" w:eastAsia="en-US"/>
        </w:rPr>
        <w:t>.</w:t>
      </w:r>
      <w:r w:rsidR="000A5537">
        <w:rPr>
          <w:rFonts w:ascii="Arial" w:eastAsia="Arial" w:hAnsi="Arial" w:cs="Arial"/>
          <w:noProof/>
          <w:sz w:val="16"/>
          <w:szCs w:val="16"/>
          <w:lang w:val="fr-FR" w:eastAsia="en-US"/>
        </w:rPr>
        <w:t xml:space="preserve"> </w:t>
      </w:r>
    </w:p>
    <w:p w:rsidR="00CA74EA" w:rsidRPr="00AF08CE" w:rsidRDefault="00CA74EA">
      <w:pPr>
        <w:spacing w:after="0" w:line="240" w:lineRule="auto"/>
        <w:jc w:val="both"/>
        <w:rPr>
          <w:rFonts w:ascii="Arial" w:eastAsia="Arial" w:hAnsi="Arial" w:cs="Arial"/>
          <w:sz w:val="8"/>
          <w:szCs w:val="8"/>
          <w:lang w:val="fr-FR" w:eastAsia="en-US"/>
        </w:rPr>
      </w:pP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EN QUOI CONSISTE CE PRODUIT ?</w:t>
      </w:r>
      <w:r>
        <w:rPr>
          <w:rFonts w:ascii="Arial" w:eastAsia="Arial" w:hAnsi="Arial" w:cs="Arial"/>
          <w:sz w:val="20"/>
          <w:szCs w:val="20"/>
          <w:lang w:val="fr-FR" w:eastAsia="en-US"/>
        </w:rPr>
        <w:t xml:space="preserve"> </w:t>
      </w:r>
      <w:r>
        <w:rPr>
          <w:rFonts w:cs="Times New Roman"/>
          <w:sz w:val="20"/>
          <w:szCs w:val="20"/>
          <w:lang w:val="fr-FR" w:eastAsia="en-US"/>
        </w:rPr>
        <w:tab/>
      </w:r>
    </w:p>
    <w:p w:rsidR="00AF08CE" w:rsidRPr="00AF08CE" w:rsidRDefault="00AF08CE">
      <w:pPr>
        <w:spacing w:after="0" w:line="240" w:lineRule="auto"/>
        <w:jc w:val="both"/>
        <w:rPr>
          <w:rFonts w:ascii="Arial" w:eastAsia="Arial" w:hAnsi="Arial" w:cs="Arial"/>
          <w:b/>
          <w:sz w:val="4"/>
          <w:szCs w:val="4"/>
          <w:lang w:val="fr-FR" w:eastAsia="en-US"/>
        </w:rPr>
      </w:pPr>
    </w:p>
    <w:p w:rsidR="00CA74EA" w:rsidRDefault="00265E1F">
      <w:pPr>
        <w:spacing w:after="0" w:line="240" w:lineRule="auto"/>
        <w:jc w:val="both"/>
        <w:rPr>
          <w:rFonts w:ascii="Arial" w:eastAsia="Arial" w:hAnsi="Arial" w:cs="Arial"/>
          <w:b/>
          <w:sz w:val="16"/>
          <w:szCs w:val="16"/>
          <w:lang w:val="fr-FR" w:eastAsia="en-US"/>
        </w:rPr>
      </w:pPr>
      <w:r>
        <w:rPr>
          <w:rFonts w:ascii="Arial" w:eastAsia="Arial" w:hAnsi="Arial" w:cs="Arial"/>
          <w:b/>
          <w:sz w:val="16"/>
          <w:szCs w:val="16"/>
          <w:lang w:val="fr-FR" w:eastAsia="en-US"/>
        </w:rPr>
        <w:t>TYPE DE PRODUIT D’INVESTISSEMENT</w:t>
      </w:r>
    </w:p>
    <w:p w:rsidR="00CA74EA" w:rsidRDefault="00265E1F">
      <w:p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OPCVM sous forme de fonds commun de placement (FCP)</w:t>
      </w:r>
    </w:p>
    <w:p w:rsidR="00AF08CE" w:rsidRPr="00AF08CE" w:rsidRDefault="00AF08CE">
      <w:pPr>
        <w:spacing w:after="0" w:line="240" w:lineRule="auto"/>
        <w:jc w:val="both"/>
        <w:rPr>
          <w:rFonts w:ascii="Arial" w:eastAsia="Arial" w:hAnsi="Arial" w:cs="Arial"/>
          <w:sz w:val="4"/>
          <w:szCs w:val="4"/>
          <w:lang w:val="fr-FR" w:eastAsia="en-US"/>
        </w:rPr>
      </w:pPr>
    </w:p>
    <w:p w:rsidR="00AF08CE" w:rsidRPr="00AF08CE" w:rsidRDefault="00AF08CE" w:rsidP="00BD09A4">
      <w:pPr>
        <w:widowControl w:val="0"/>
        <w:autoSpaceDE w:val="0"/>
        <w:autoSpaceDN w:val="0"/>
        <w:adjustRightInd w:val="0"/>
        <w:spacing w:after="0" w:line="240" w:lineRule="auto"/>
        <w:jc w:val="both"/>
        <w:rPr>
          <w:rFonts w:ascii="Arial" w:eastAsia="Arial" w:hAnsi="Arial" w:cs="Arial"/>
          <w:b/>
          <w:noProof/>
          <w:sz w:val="16"/>
          <w:szCs w:val="16"/>
          <w:lang w:val="fr-FR" w:eastAsia="en-US"/>
        </w:rPr>
      </w:pPr>
      <w:r w:rsidRPr="00AF08CE">
        <w:rPr>
          <w:rFonts w:ascii="Arial" w:eastAsia="Arial" w:hAnsi="Arial" w:cs="Arial"/>
          <w:b/>
          <w:noProof/>
          <w:sz w:val="16"/>
          <w:szCs w:val="16"/>
          <w:lang w:val="fr-FR" w:eastAsia="en-US"/>
        </w:rPr>
        <w:t>DUREE</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noProof/>
          <w:sz w:val="16"/>
          <w:szCs w:val="16"/>
          <w:lang w:val="fr-FR" w:eastAsia="en-US"/>
        </w:rPr>
      </w:pPr>
      <w:r w:rsidRPr="000A5537">
        <w:rPr>
          <w:rFonts w:ascii="Arial" w:eastAsia="Arial" w:hAnsi="Arial" w:cs="Arial"/>
          <w:noProof/>
          <w:sz w:val="16"/>
          <w:szCs w:val="16"/>
          <w:lang w:val="fr-FR" w:eastAsia="en-US"/>
        </w:rPr>
        <w:t>Il a été agr</w:t>
      </w:r>
      <w:r w:rsidR="00AF08CE">
        <w:rPr>
          <w:rFonts w:ascii="Arial" w:eastAsia="Arial" w:hAnsi="Arial" w:cs="Arial"/>
          <w:noProof/>
          <w:sz w:val="16"/>
          <w:szCs w:val="16"/>
          <w:lang w:val="fr-FR" w:eastAsia="en-US"/>
        </w:rPr>
        <w:t>ée le 15/10/1991 et crée le 07/04/2008</w:t>
      </w:r>
      <w:r w:rsidRPr="000A5537">
        <w:rPr>
          <w:rFonts w:ascii="Arial" w:eastAsia="Arial" w:hAnsi="Arial" w:cs="Arial"/>
          <w:noProof/>
          <w:sz w:val="16"/>
          <w:szCs w:val="16"/>
          <w:lang w:val="fr-FR" w:eastAsia="en-US"/>
        </w:rPr>
        <w:t xml:space="preserve"> pour une durée de 99 ans</w:t>
      </w:r>
      <w:r w:rsidRPr="00BD09A4">
        <w:rPr>
          <w:rFonts w:ascii="Arial" w:eastAsia="Arial" w:hAnsi="Arial" w:cs="Arial"/>
          <w:noProof/>
          <w:sz w:val="16"/>
          <w:szCs w:val="16"/>
          <w:lang w:val="fr-FR" w:eastAsia="en-US"/>
        </w:rPr>
        <w:t xml:space="preserve">, </w:t>
      </w:r>
      <w:r w:rsidRPr="000A5537">
        <w:rPr>
          <w:rFonts w:ascii="Arial" w:eastAsia="Arial" w:hAnsi="Arial" w:cs="Arial"/>
          <w:noProof/>
          <w:sz w:val="16"/>
          <w:szCs w:val="16"/>
          <w:lang w:val="fr-FR" w:eastAsia="en-US"/>
        </w:rPr>
        <w:t>sauf cas de dissolution anticipée ou fusion prévue par son règlement.</w:t>
      </w:r>
    </w:p>
    <w:p w:rsidR="00CA74EA" w:rsidRPr="00265E1F" w:rsidRDefault="00CA74EA">
      <w:pPr>
        <w:spacing w:after="0" w:line="240" w:lineRule="auto"/>
        <w:jc w:val="both"/>
        <w:rPr>
          <w:rFonts w:ascii="Arial" w:eastAsia="Arial" w:hAnsi="Arial" w:cs="Arial"/>
          <w:sz w:val="4"/>
          <w:szCs w:val="4"/>
          <w:lang w:val="fr-FR" w:eastAsia="en-US"/>
        </w:rPr>
      </w:pPr>
    </w:p>
    <w:p w:rsidR="00B440F8" w:rsidRPr="00AF08CE" w:rsidRDefault="00B440F8">
      <w:pPr>
        <w:spacing w:after="0" w:line="240" w:lineRule="auto"/>
        <w:jc w:val="both"/>
        <w:rPr>
          <w:rFonts w:ascii="Arial" w:eastAsia="Arial" w:hAnsi="Arial" w:cs="Arial"/>
          <w:b/>
          <w:sz w:val="4"/>
          <w:szCs w:val="4"/>
          <w:lang w:val="fr-FR" w:eastAsia="en-US"/>
        </w:rPr>
      </w:pPr>
    </w:p>
    <w:p w:rsidR="00CA74EA" w:rsidRDefault="00265E1F">
      <w:pPr>
        <w:spacing w:after="0" w:line="240" w:lineRule="auto"/>
        <w:jc w:val="both"/>
        <w:rPr>
          <w:rFonts w:ascii="Arial" w:eastAsia="Arial" w:hAnsi="Arial" w:cs="Arial"/>
          <w:b/>
          <w:sz w:val="16"/>
          <w:szCs w:val="16"/>
          <w:lang w:val="fr-FR" w:eastAsia="en-US"/>
        </w:rPr>
      </w:pPr>
      <w:r>
        <w:rPr>
          <w:rFonts w:ascii="Arial" w:eastAsia="Arial" w:hAnsi="Arial" w:cs="Arial"/>
          <w:b/>
          <w:sz w:val="16"/>
          <w:szCs w:val="16"/>
          <w:lang w:val="fr-FR" w:eastAsia="en-US"/>
        </w:rPr>
        <w:t>OBJECTIF</w:t>
      </w:r>
      <w:r w:rsidR="00AF08CE">
        <w:rPr>
          <w:rFonts w:ascii="Arial" w:eastAsia="Arial" w:hAnsi="Arial" w:cs="Arial"/>
          <w:b/>
          <w:sz w:val="16"/>
          <w:szCs w:val="16"/>
          <w:lang w:val="fr-FR" w:eastAsia="en-US"/>
        </w:rPr>
        <w:t>S</w:t>
      </w:r>
    </w:p>
    <w:p w:rsidR="00CA74EA" w:rsidRPr="00265E1F" w:rsidRDefault="00265E1F">
      <w:pPr>
        <w:spacing w:after="0" w:line="240" w:lineRule="auto"/>
        <w:jc w:val="both"/>
        <w:rPr>
          <w:rFonts w:ascii="Arial" w:eastAsia="Arial" w:hAnsi="Arial" w:cs="Arial"/>
          <w:b/>
          <w:sz w:val="16"/>
          <w:szCs w:val="16"/>
          <w:lang w:val="fr-FR" w:eastAsia="en-US"/>
        </w:rPr>
      </w:pPr>
      <w:r w:rsidRPr="00265E1F">
        <w:rPr>
          <w:rFonts w:ascii="Arial" w:eastAsia="Arial" w:hAnsi="Arial" w:cs="Arial"/>
          <w:b/>
          <w:noProof/>
          <w:sz w:val="16"/>
          <w:szCs w:val="16"/>
          <w:lang w:val="fr-FR" w:eastAsia="en-US"/>
        </w:rPr>
        <w:t xml:space="preserve">Les caractéristiques essentielles de ce FCP sont les suivantes: </w:t>
      </w:r>
    </w:p>
    <w:p w:rsidR="00CA74EA" w:rsidRPr="00265E1F" w:rsidRDefault="00265E1F">
      <w:pPr>
        <w:spacing w:after="0" w:line="240" w:lineRule="auto"/>
        <w:jc w:val="both"/>
        <w:rPr>
          <w:rFonts w:ascii="Arial" w:eastAsia="Arial" w:hAnsi="Arial" w:cs="Arial"/>
          <w:sz w:val="4"/>
          <w:szCs w:val="4"/>
          <w:lang w:val="fr-FR" w:eastAsia="en-US"/>
        </w:rPr>
      </w:pPr>
      <w:r>
        <w:rPr>
          <w:rFonts w:ascii="Arial" w:eastAsia="Arial" w:hAnsi="Arial" w:cs="Arial"/>
          <w:noProof/>
          <w:sz w:val="16"/>
          <w:szCs w:val="16"/>
          <w:lang w:val="fr-FR" w:eastAsia="en-US"/>
        </w:rPr>
        <w:t xml:space="preserve"> </w:t>
      </w:r>
    </w:p>
    <w:p w:rsidR="00CA74EA" w:rsidRDefault="00265E1F">
      <w:pPr>
        <w:spacing w:after="0" w:line="240" w:lineRule="auto"/>
        <w:jc w:val="both"/>
        <w:rPr>
          <w:rFonts w:ascii="Arial" w:eastAsia="Arial" w:hAnsi="Arial" w:cs="Arial"/>
          <w:sz w:val="16"/>
          <w:szCs w:val="16"/>
          <w:lang w:val="fr-FR" w:eastAsia="en-US"/>
        </w:rPr>
      </w:pPr>
      <w:r w:rsidRPr="00AF08CE">
        <w:rPr>
          <w:rFonts w:ascii="Arial" w:eastAsia="Arial" w:hAnsi="Arial" w:cs="Arial"/>
          <w:b/>
          <w:noProof/>
          <w:sz w:val="16"/>
          <w:szCs w:val="16"/>
          <w:lang w:val="fr-FR" w:eastAsia="en-US"/>
        </w:rPr>
        <w:t>Classification AMF</w:t>
      </w:r>
      <w:r>
        <w:rPr>
          <w:rFonts w:ascii="Arial" w:eastAsia="Arial" w:hAnsi="Arial" w:cs="Arial"/>
          <w:noProof/>
          <w:sz w:val="16"/>
          <w:szCs w:val="16"/>
          <w:lang w:val="fr-FR" w:eastAsia="en-US"/>
        </w:rPr>
        <w:t xml:space="preserve"> : actions des pays de l'Union européenne. </w:t>
      </w:r>
    </w:p>
    <w:p w:rsidR="00CA74EA" w:rsidRPr="00265E1F" w:rsidRDefault="00265E1F">
      <w:pPr>
        <w:spacing w:after="0" w:line="240" w:lineRule="auto"/>
        <w:jc w:val="both"/>
        <w:rPr>
          <w:rFonts w:ascii="Arial" w:eastAsia="Arial" w:hAnsi="Arial" w:cs="Arial"/>
          <w:sz w:val="4"/>
          <w:szCs w:val="4"/>
          <w:lang w:val="fr-FR" w:eastAsia="en-US"/>
        </w:rPr>
      </w:pPr>
      <w:r>
        <w:rPr>
          <w:rFonts w:ascii="Arial" w:eastAsia="Arial" w:hAnsi="Arial" w:cs="Arial"/>
          <w:noProof/>
          <w:sz w:val="16"/>
          <w:szCs w:val="16"/>
          <w:lang w:val="fr-FR" w:eastAsia="en-US"/>
        </w:rPr>
        <w:t xml:space="preserve">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 xml:space="preserve">Cet OPCVM est géré activement et de manière discrétionnaire. Il a pour objectif de gestion la recherche d'une performance nette de frais supérieure à l'évolution des marchés actions de l'Union européenne, sur la durée de placement recommandée. </w:t>
      </w:r>
    </w:p>
    <w:p w:rsidR="00CA74EA" w:rsidRPr="00265E1F" w:rsidRDefault="00265E1F">
      <w:pPr>
        <w:spacing w:after="0" w:line="240" w:lineRule="auto"/>
        <w:jc w:val="both"/>
        <w:rPr>
          <w:rFonts w:ascii="Arial" w:eastAsia="Arial" w:hAnsi="Arial" w:cs="Arial"/>
          <w:sz w:val="4"/>
          <w:szCs w:val="4"/>
          <w:lang w:val="fr-FR" w:eastAsia="en-US"/>
        </w:rPr>
      </w:pPr>
      <w:r>
        <w:rPr>
          <w:rFonts w:ascii="Arial" w:eastAsia="Arial" w:hAnsi="Arial" w:cs="Arial"/>
          <w:noProof/>
          <w:sz w:val="16"/>
          <w:szCs w:val="16"/>
          <w:lang w:val="fr-FR" w:eastAsia="en-US"/>
        </w:rPr>
        <w:t xml:space="preserve">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 xml:space="preserve">Cette forme de stratégie de gestion, pour laquelle le gérant a une latitude dans l'allocation d'actifs, ne requiert pas d'indicateur de référence. Toutefois, la performance de l'OPCVM pourra être rapprochée de celle d'un indicateur de comparaison et d'appréciation a posteriori tel que l'indice Euro Stoxx 50 (dividendes nets réinvestis) au moyen d'une gestion active et discrétionnaire, en s'exposant principalement en actions de l'Union européenne, tout en respectant les contraintes d'investissement propres au Plan d'Epargne en Actions (PEA). </w:t>
      </w:r>
    </w:p>
    <w:p w:rsidR="00CA74EA" w:rsidRPr="00265E1F" w:rsidRDefault="00265E1F">
      <w:pPr>
        <w:spacing w:after="0" w:line="240" w:lineRule="auto"/>
        <w:jc w:val="both"/>
        <w:rPr>
          <w:rFonts w:ascii="Arial" w:eastAsia="Arial" w:hAnsi="Arial" w:cs="Arial"/>
          <w:sz w:val="4"/>
          <w:szCs w:val="4"/>
          <w:lang w:val="fr-FR" w:eastAsia="en-US"/>
        </w:rPr>
      </w:pPr>
      <w:r>
        <w:rPr>
          <w:rFonts w:ascii="Arial" w:eastAsia="Arial" w:hAnsi="Arial" w:cs="Arial"/>
          <w:noProof/>
          <w:sz w:val="16"/>
          <w:szCs w:val="16"/>
          <w:lang w:val="fr-FR" w:eastAsia="en-US"/>
        </w:rPr>
        <w:t xml:space="preserve">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 xml:space="preserve">L'Euro Stoxx 50 est composé d'un échantillon de 50 des plus grandes capitalisations des pays de la zone euro. L'indice est retenu en cours de clôture et exprimé en euro, dividendes réinvestis. </w:t>
      </w:r>
    </w:p>
    <w:p w:rsidR="00CA74EA" w:rsidRPr="00265E1F" w:rsidRDefault="00265E1F">
      <w:pPr>
        <w:spacing w:after="0" w:line="240" w:lineRule="auto"/>
        <w:jc w:val="both"/>
        <w:rPr>
          <w:rFonts w:ascii="Arial" w:eastAsia="Arial" w:hAnsi="Arial" w:cs="Arial"/>
          <w:sz w:val="4"/>
          <w:szCs w:val="4"/>
          <w:lang w:val="fr-FR" w:eastAsia="en-US"/>
        </w:rPr>
      </w:pPr>
      <w:r>
        <w:rPr>
          <w:rFonts w:ascii="Arial" w:eastAsia="Arial" w:hAnsi="Arial" w:cs="Arial"/>
          <w:noProof/>
          <w:sz w:val="16"/>
          <w:szCs w:val="16"/>
          <w:lang w:val="fr-FR" w:eastAsia="en-US"/>
        </w:rPr>
        <w:t xml:space="preserve">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L'allocation d'actifs et la performance peuvent être différentes de celles de l'indicateur de comparaison.</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 xml:space="preserve">Le FCP est exposé au minimum à 60% de l'actif net en actions des pays de l'Union européenne. Le fonds étant éligible au PEA, il sera investi à tout moment au moins à 75% en actions françaises et européennes répondant à cette réglementation, émises par des sociétés de toutes tailles de capitalisation boursière et appartenant à tous types de secteurs économiques. Le FCP pourra également comprendre, à hauteur de 10% maximum de l'actif net, des actions de sociétés de pays situés hors de l'Union européenne, y compris des actions de pays émergents. L'exposition au risque de change sera proportionnelle à la part de l'actif investi hors zone euro et restera donc accessoire. </w:t>
      </w:r>
    </w:p>
    <w:p w:rsidR="00CA74EA" w:rsidRPr="00265E1F" w:rsidRDefault="00265E1F">
      <w:pPr>
        <w:spacing w:after="0" w:line="240" w:lineRule="auto"/>
        <w:jc w:val="both"/>
        <w:rPr>
          <w:rFonts w:ascii="Arial" w:eastAsia="Arial" w:hAnsi="Arial" w:cs="Arial"/>
          <w:sz w:val="4"/>
          <w:szCs w:val="4"/>
          <w:lang w:val="fr-FR" w:eastAsia="en-US"/>
        </w:rPr>
      </w:pPr>
      <w:r>
        <w:rPr>
          <w:rFonts w:ascii="Arial" w:eastAsia="Arial" w:hAnsi="Arial" w:cs="Arial"/>
          <w:noProof/>
          <w:sz w:val="16"/>
          <w:szCs w:val="16"/>
          <w:lang w:val="fr-FR" w:eastAsia="en-US"/>
        </w:rPr>
        <w:t xml:space="preserve">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Le FCP pourra investir jusqu'à 20% de son actif net dans des titres de créances obligataires et monétaires émis par des Etats ou des émetteurs privés libellées en euro dont la notation, lors de l'investissement, sera Investment Grade ou jugée équivalente par la société de gestion ou les agences de notation. La sensibilité du portefeuille est comprise entre 0 et 3</w:t>
      </w:r>
    </w:p>
    <w:p w:rsidR="00CA74EA" w:rsidRPr="00265E1F" w:rsidRDefault="00CA74EA">
      <w:pPr>
        <w:spacing w:after="0" w:line="240" w:lineRule="auto"/>
        <w:jc w:val="both"/>
        <w:rPr>
          <w:rFonts w:ascii="Arial" w:eastAsia="Arial" w:hAnsi="Arial" w:cs="Arial"/>
          <w:sz w:val="4"/>
          <w:szCs w:val="4"/>
          <w:lang w:val="fr-FR" w:eastAsia="en-US"/>
        </w:rPr>
      </w:pP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 xml:space="preserve">Pour la sélection et le suivi des titres de taux, la société de gestion ne recourt pas exclusivement ou mécaniquement aux agences de notation. Elle privilégie sa propre analyse de crédit qui sert de fondement aux décisions de gestion prises dans l'intérêt des porteurs. </w:t>
      </w:r>
    </w:p>
    <w:p w:rsidR="00CA74EA" w:rsidRPr="00265E1F" w:rsidRDefault="00265E1F">
      <w:pPr>
        <w:spacing w:after="0" w:line="240" w:lineRule="auto"/>
        <w:jc w:val="both"/>
        <w:rPr>
          <w:rFonts w:ascii="Arial" w:eastAsia="Arial" w:hAnsi="Arial" w:cs="Arial"/>
          <w:sz w:val="4"/>
          <w:szCs w:val="4"/>
          <w:lang w:val="fr-FR" w:eastAsia="en-US"/>
        </w:rPr>
      </w:pPr>
      <w:r>
        <w:rPr>
          <w:rFonts w:ascii="Arial" w:eastAsia="Arial" w:hAnsi="Arial" w:cs="Arial"/>
          <w:noProof/>
          <w:sz w:val="16"/>
          <w:szCs w:val="16"/>
          <w:lang w:val="fr-FR" w:eastAsia="en-US"/>
        </w:rPr>
        <w:t xml:space="preserve">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 xml:space="preserve">Le FCP pourra conclure des opérations d'acquisition et cessions temporaires de titres.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Des instruments financiers à terme et les titres intégrant des dérivés peuvent également être utilisés pour couvrir et/ou exposer le portefeuille au risque action, de taux et de change et/ou surexposer le portefeuille. La capacité d'amplification sur les marchés dérivés est limitée à une fois l'actif, le niveau maximal d'exposition du FCP aux marchés actions pouvant ainsi aller jusqu'à 200% de l'actif net. Cette exposition maximale ne sera toutefois pas systématiquement utilisée et sera laissée à la libre appréciation du gérant.</w:t>
      </w:r>
    </w:p>
    <w:p w:rsidR="00CA74EA" w:rsidRDefault="00265E1F">
      <w:p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Le FCP pourra investir jusqu'à 10% de son actif net en OPCVM de droit français ou étranger, en FIA de droit français ou établis dans d'autres Etats membres de l'UE ouverts à une clientèle non professionnelle et répondant aux conditions de l'article R214-13 du Code Monétaire et Financier</w:t>
      </w:r>
      <w:r w:rsidR="00647CAD">
        <w:rPr>
          <w:rFonts w:ascii="Arial" w:eastAsia="Arial" w:hAnsi="Arial" w:cs="Arial"/>
          <w:noProof/>
          <w:sz w:val="16"/>
          <w:szCs w:val="16"/>
          <w:lang w:val="fr-FR" w:eastAsia="en-US"/>
        </w:rPr>
        <w:t>.</w:t>
      </w:r>
    </w:p>
    <w:p w:rsidR="00265E1F" w:rsidRPr="00265E1F" w:rsidRDefault="00265E1F">
      <w:pPr>
        <w:spacing w:after="0" w:line="240" w:lineRule="auto"/>
        <w:jc w:val="both"/>
        <w:rPr>
          <w:rFonts w:ascii="Arial" w:eastAsia="Arial" w:hAnsi="Arial" w:cs="Arial"/>
          <w:sz w:val="4"/>
          <w:szCs w:val="4"/>
          <w:lang w:val="fr-FR" w:eastAsia="en-US"/>
        </w:rPr>
      </w:pPr>
    </w:p>
    <w:p w:rsidR="00B440F8" w:rsidRPr="00AF08CE" w:rsidRDefault="00B440F8">
      <w:pPr>
        <w:spacing w:after="0" w:line="240" w:lineRule="auto"/>
        <w:jc w:val="both"/>
        <w:rPr>
          <w:rFonts w:ascii="Arial" w:eastAsia="Arial" w:hAnsi="Arial" w:cs="Arial"/>
          <w:b/>
          <w:sz w:val="2"/>
          <w:szCs w:val="2"/>
          <w:lang w:val="fr-FR" w:eastAsia="en-US"/>
        </w:rPr>
      </w:pPr>
    </w:p>
    <w:p w:rsidR="00BD09A4" w:rsidRDefault="00BD09A4" w:rsidP="00BD09A4">
      <w:pPr>
        <w:spacing w:after="0" w:line="240" w:lineRule="auto"/>
        <w:jc w:val="both"/>
        <w:rPr>
          <w:rFonts w:ascii="Arial" w:eastAsia="Arial" w:hAnsi="Arial" w:cs="Arial"/>
          <w:sz w:val="16"/>
          <w:szCs w:val="16"/>
          <w:lang w:val="fr-FR" w:eastAsia="en-US"/>
        </w:rPr>
      </w:pPr>
      <w:r w:rsidRPr="00AF08CE">
        <w:rPr>
          <w:rFonts w:ascii="Arial" w:eastAsia="Arial" w:hAnsi="Arial" w:cs="Arial"/>
          <w:b/>
          <w:sz w:val="16"/>
          <w:szCs w:val="16"/>
          <w:lang w:val="fr-FR" w:eastAsia="en-US"/>
        </w:rPr>
        <w:t>Affectation des sommes distribuables</w:t>
      </w:r>
      <w:r>
        <w:rPr>
          <w:rFonts w:ascii="Arial" w:eastAsia="Arial" w:hAnsi="Arial" w:cs="Arial"/>
          <w:sz w:val="16"/>
          <w:szCs w:val="16"/>
          <w:lang w:val="fr-FR" w:eastAsia="en-US"/>
        </w:rPr>
        <w:t xml:space="preserve"> : </w:t>
      </w:r>
      <w:r>
        <w:rPr>
          <w:rFonts w:ascii="Arial" w:eastAsia="Arial" w:hAnsi="Arial" w:cs="Arial"/>
          <w:noProof/>
          <w:sz w:val="16"/>
          <w:szCs w:val="16"/>
          <w:lang w:val="fr-FR" w:eastAsia="en-US"/>
        </w:rPr>
        <w:t>Capitalisation totale</w:t>
      </w:r>
    </w:p>
    <w:p w:rsidR="00BD09A4" w:rsidRDefault="00BD09A4" w:rsidP="00BD09A4">
      <w:pPr>
        <w:spacing w:after="0" w:line="240" w:lineRule="auto"/>
        <w:jc w:val="both"/>
        <w:rPr>
          <w:rFonts w:ascii="Arial" w:eastAsia="Arial" w:hAnsi="Arial" w:cs="Arial"/>
          <w:noProof/>
          <w:sz w:val="16"/>
          <w:szCs w:val="16"/>
          <w:lang w:val="fr-FR" w:eastAsia="en-US"/>
        </w:rPr>
      </w:pPr>
      <w:r w:rsidRPr="00AF08CE">
        <w:rPr>
          <w:rFonts w:ascii="Arial" w:eastAsia="Arial" w:hAnsi="Arial" w:cs="Arial"/>
          <w:b/>
          <w:noProof/>
          <w:sz w:val="16"/>
          <w:szCs w:val="16"/>
          <w:lang w:val="fr-FR" w:eastAsia="en-US"/>
        </w:rPr>
        <w:t>Conditions de souscriptions/rachats</w:t>
      </w:r>
      <w:r>
        <w:rPr>
          <w:rFonts w:ascii="Arial" w:eastAsia="Arial" w:hAnsi="Arial" w:cs="Arial"/>
          <w:noProof/>
          <w:sz w:val="16"/>
          <w:szCs w:val="16"/>
          <w:lang w:val="fr-FR" w:eastAsia="en-US"/>
        </w:rPr>
        <w:t xml:space="preserve"> : </w:t>
      </w:r>
      <w:r w:rsidRPr="00647CAD">
        <w:rPr>
          <w:rFonts w:ascii="Arial" w:eastAsia="Arial" w:hAnsi="Arial" w:cs="Arial"/>
          <w:noProof/>
          <w:sz w:val="16"/>
          <w:szCs w:val="16"/>
          <w:lang w:val="fr-FR" w:eastAsia="en-US"/>
        </w:rPr>
        <w:t xml:space="preserve">Les demandes de rachats sont centralisées avant 10h00 auprès de CREDIT INDUSTRIEL ET COMMERCIAL (CIC).et exécutées à cours inconnu sur la base de la prochaine valeur liquidative. La valeur liquidative est établie chaque vendredi, le dernier jour de bourse du mois de juin si celui-ci n’est pas un vendredi et l'avant dernier jour précédant le 5 de chaque mois où les marchés Euronext sont ouverts à l'exception des jours fériés légaux en France. </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noProof/>
          <w:sz w:val="16"/>
          <w:szCs w:val="16"/>
          <w:lang w:val="fr-FR" w:eastAsia="en-US"/>
        </w:rPr>
      </w:pPr>
      <w:r w:rsidRPr="00AF08CE">
        <w:rPr>
          <w:rFonts w:ascii="Arial" w:eastAsia="Arial" w:hAnsi="Arial" w:cs="Arial"/>
          <w:b/>
          <w:noProof/>
          <w:sz w:val="16"/>
          <w:szCs w:val="16"/>
          <w:lang w:val="fr-FR" w:eastAsia="en-US"/>
        </w:rPr>
        <w:t>Dépositaire</w:t>
      </w:r>
      <w:r w:rsidRPr="00BD09A4">
        <w:rPr>
          <w:rFonts w:ascii="Arial" w:eastAsia="Arial" w:hAnsi="Arial" w:cs="Arial"/>
          <w:noProof/>
          <w:sz w:val="16"/>
          <w:szCs w:val="16"/>
          <w:lang w:val="fr-FR" w:eastAsia="en-US"/>
        </w:rPr>
        <w:t> : CREDIT INDUSTRIEL ET COMMERCIAL (CIC)</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noProof/>
          <w:sz w:val="4"/>
          <w:szCs w:val="4"/>
          <w:lang w:val="fr-FR" w:eastAsia="en-US"/>
        </w:rPr>
      </w:pPr>
    </w:p>
    <w:p w:rsidR="00BD09A4" w:rsidRPr="000A5537" w:rsidRDefault="00BD09A4" w:rsidP="00BD09A4">
      <w:pPr>
        <w:widowControl w:val="0"/>
        <w:autoSpaceDE w:val="0"/>
        <w:autoSpaceDN w:val="0"/>
        <w:adjustRightInd w:val="0"/>
        <w:spacing w:after="0" w:line="240" w:lineRule="auto"/>
        <w:jc w:val="both"/>
        <w:rPr>
          <w:rFonts w:ascii="Arial" w:eastAsia="Arial" w:hAnsi="Arial" w:cs="Arial"/>
          <w:noProof/>
          <w:sz w:val="16"/>
          <w:szCs w:val="16"/>
          <w:lang w:val="fr-FR" w:eastAsia="en-US"/>
        </w:rPr>
      </w:pPr>
      <w:r w:rsidRPr="00AF08CE">
        <w:rPr>
          <w:rFonts w:ascii="Arial" w:eastAsia="Arial" w:hAnsi="Arial" w:cs="Arial"/>
          <w:b/>
          <w:noProof/>
          <w:sz w:val="16"/>
          <w:szCs w:val="16"/>
          <w:lang w:val="fr-FR" w:eastAsia="en-US"/>
        </w:rPr>
        <w:t>Informations complémentaires</w:t>
      </w:r>
      <w:r w:rsidRPr="000A5537">
        <w:rPr>
          <w:rFonts w:ascii="Arial" w:eastAsia="Arial" w:hAnsi="Arial" w:cs="Arial"/>
          <w:noProof/>
          <w:sz w:val="16"/>
          <w:szCs w:val="16"/>
          <w:lang w:val="fr-FR" w:eastAsia="en-US"/>
        </w:rPr>
        <w:t> : De plus amples informations sur l’OPCVM, le FIA, le prospectus, le règlement et les rapports annuels et semestriels sont disponibles en français sur le site internet de la société de gestion et peuvent être obtenus gratuitement auprès de celle-ci.</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sz w:val="16"/>
          <w:szCs w:val="16"/>
          <w:lang w:val="fr-FR" w:eastAsia="en-US"/>
        </w:rPr>
      </w:pPr>
      <w:r w:rsidRPr="000A5537">
        <w:rPr>
          <w:rFonts w:ascii="Arial" w:eastAsia="Arial" w:hAnsi="Arial" w:cs="Arial"/>
          <w:noProof/>
          <w:sz w:val="16"/>
          <w:szCs w:val="16"/>
          <w:lang w:val="fr-FR" w:eastAsia="en-US"/>
        </w:rPr>
        <w:t xml:space="preserve">La valeur liquidative est </w:t>
      </w:r>
      <w:r w:rsidRPr="00AF08CE">
        <w:rPr>
          <w:rFonts w:ascii="Arial" w:eastAsia="Arial" w:hAnsi="Arial" w:cs="Arial"/>
          <w:noProof/>
          <w:sz w:val="16"/>
          <w:szCs w:val="16"/>
          <w:lang w:val="fr-FR" w:eastAsia="en-US"/>
        </w:rPr>
        <w:t>disponible sur</w:t>
      </w:r>
      <w:r w:rsidR="000A5537" w:rsidRPr="00AF08CE">
        <w:rPr>
          <w:rFonts w:ascii="Arial" w:eastAsia="Calibri" w:hAnsi="Arial" w:cs="Arial"/>
          <w:color w:val="000000"/>
          <w:spacing w:val="-2"/>
          <w:sz w:val="16"/>
          <w:szCs w:val="16"/>
          <w:lang w:val="fr-FR" w:eastAsia="fr-FR"/>
        </w:rPr>
        <w:t xml:space="preserve"> </w:t>
      </w:r>
      <w:hyperlink r:id="rId8" w:history="1">
        <w:r w:rsidRPr="00AF08CE">
          <w:rPr>
            <w:rFonts w:ascii="Arial" w:eastAsia="Arial" w:hAnsi="Arial" w:cs="Arial"/>
            <w:noProof/>
            <w:color w:val="0000FF"/>
            <w:sz w:val="16"/>
            <w:szCs w:val="16"/>
            <w:u w:val="single"/>
            <w:lang w:val="fr-FR" w:eastAsia="en-US"/>
          </w:rPr>
          <w:t>https://www.gsdgestion.com</w:t>
        </w:r>
      </w:hyperlink>
      <w:r w:rsidRPr="00AF08CE">
        <w:rPr>
          <w:rFonts w:ascii="Arial" w:eastAsia="Arial" w:hAnsi="Arial" w:cs="Arial"/>
          <w:noProof/>
          <w:sz w:val="16"/>
          <w:szCs w:val="16"/>
          <w:lang w:val="fr-FR" w:eastAsia="en-US"/>
        </w:rPr>
        <w:t xml:space="preserve"> ou auprès de la société</w:t>
      </w:r>
      <w:r w:rsidRPr="000A5537">
        <w:rPr>
          <w:rFonts w:ascii="Arial" w:eastAsia="Arial" w:hAnsi="Arial" w:cs="Arial"/>
          <w:noProof/>
          <w:sz w:val="16"/>
          <w:szCs w:val="16"/>
          <w:lang w:val="fr-FR" w:eastAsia="en-US"/>
        </w:rPr>
        <w:t xml:space="preserve"> de gestion.</w:t>
      </w:r>
    </w:p>
    <w:p w:rsidR="00BD09A4" w:rsidRPr="00636B16" w:rsidRDefault="00BD09A4" w:rsidP="00BD09A4">
      <w:pPr>
        <w:spacing w:after="0" w:line="240" w:lineRule="auto"/>
        <w:jc w:val="both"/>
        <w:rPr>
          <w:rFonts w:ascii="Arial" w:eastAsia="Arial" w:hAnsi="Arial" w:cs="Arial"/>
          <w:noProof/>
          <w:sz w:val="8"/>
          <w:szCs w:val="8"/>
          <w:lang w:val="fr-FR" w:eastAsia="en-US"/>
        </w:rPr>
      </w:pPr>
    </w:p>
    <w:p w:rsidR="00CA74EA" w:rsidRDefault="00265E1F" w:rsidP="00BD09A4">
      <w:pPr>
        <w:spacing w:after="0" w:line="240" w:lineRule="auto"/>
        <w:jc w:val="both"/>
        <w:rPr>
          <w:rFonts w:ascii="Arial" w:eastAsia="Arial" w:hAnsi="Arial" w:cs="Arial"/>
          <w:b/>
          <w:sz w:val="16"/>
          <w:szCs w:val="16"/>
          <w:lang w:val="fr-FR" w:eastAsia="en-US"/>
        </w:rPr>
      </w:pPr>
      <w:r>
        <w:rPr>
          <w:rFonts w:ascii="Arial" w:eastAsia="Arial" w:hAnsi="Arial" w:cs="Arial"/>
          <w:b/>
          <w:sz w:val="16"/>
          <w:szCs w:val="16"/>
          <w:lang w:val="fr-FR" w:eastAsia="en-US"/>
        </w:rPr>
        <w:t xml:space="preserve">INVESTISSEURS DE DETAIL VISES </w:t>
      </w:r>
    </w:p>
    <w:p w:rsidR="00647CAD" w:rsidRPr="00647CAD" w:rsidRDefault="00647CAD">
      <w:pPr>
        <w:spacing w:after="0" w:line="240" w:lineRule="auto"/>
        <w:jc w:val="both"/>
        <w:rPr>
          <w:rFonts w:ascii="Arial" w:eastAsia="Arial" w:hAnsi="Arial" w:cs="Arial"/>
          <w:b/>
          <w:sz w:val="4"/>
          <w:szCs w:val="4"/>
          <w:lang w:val="fr-FR" w:eastAsia="en-US"/>
        </w:rPr>
      </w:pPr>
    </w:p>
    <w:p w:rsidR="00BD09A4" w:rsidRPr="00BD09A4" w:rsidRDefault="00BD09A4" w:rsidP="00BD09A4">
      <w:pPr>
        <w:widowControl w:val="0"/>
        <w:autoSpaceDE w:val="0"/>
        <w:autoSpaceDN w:val="0"/>
        <w:adjustRightInd w:val="0"/>
        <w:spacing w:after="0" w:line="240" w:lineRule="auto"/>
        <w:jc w:val="both"/>
        <w:rPr>
          <w:rFonts w:ascii="Arial" w:eastAsia="Arial" w:hAnsi="Arial" w:cs="Arial"/>
          <w:sz w:val="16"/>
          <w:szCs w:val="16"/>
          <w:lang w:val="fr-FR" w:eastAsia="en-US"/>
        </w:rPr>
      </w:pPr>
      <w:r w:rsidRPr="00BD09A4">
        <w:rPr>
          <w:rFonts w:ascii="Arial" w:eastAsia="Arial" w:hAnsi="Arial" w:cs="Arial"/>
          <w:noProof/>
          <w:sz w:val="16"/>
          <w:szCs w:val="16"/>
          <w:lang w:val="fr-FR" w:eastAsia="en-US"/>
        </w:rPr>
        <w:t xml:space="preserve">Tous souscripteurs. </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sz w:val="16"/>
          <w:szCs w:val="16"/>
          <w:lang w:val="fr-FR" w:eastAsia="en-US"/>
        </w:rPr>
      </w:pPr>
      <w:r w:rsidRPr="00BD09A4">
        <w:rPr>
          <w:rFonts w:ascii="Arial" w:eastAsia="Arial" w:hAnsi="Arial" w:cs="Arial"/>
          <w:noProof/>
          <w:sz w:val="16"/>
          <w:szCs w:val="16"/>
          <w:lang w:val="fr-FR" w:eastAsia="en-US"/>
        </w:rPr>
        <w:t xml:space="preserve">Ce FCP s'adresse principalement aux personnes qui recherchent une gestion active pour leurs investissements en actions des pays de l'Union européenne. </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sz w:val="16"/>
          <w:szCs w:val="16"/>
          <w:lang w:val="fr-FR" w:eastAsia="en-US"/>
        </w:rPr>
      </w:pPr>
      <w:r w:rsidRPr="00BD09A4">
        <w:rPr>
          <w:rFonts w:ascii="Arial" w:eastAsia="Arial" w:hAnsi="Arial" w:cs="Arial"/>
          <w:noProof/>
          <w:sz w:val="16"/>
          <w:szCs w:val="16"/>
          <w:lang w:val="fr-FR" w:eastAsia="en-US"/>
        </w:rPr>
        <w:t xml:space="preserve">Le FCP est éligible au PEA et peut servir de support à des contrats d'assurance-vie libellés en unités de compte. </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noProof/>
          <w:sz w:val="16"/>
          <w:szCs w:val="16"/>
          <w:lang w:val="fr-FR" w:eastAsia="en-US"/>
        </w:rPr>
      </w:pPr>
      <w:r w:rsidRPr="00BD09A4">
        <w:rPr>
          <w:rFonts w:ascii="Arial" w:eastAsia="Arial" w:hAnsi="Arial" w:cs="Arial"/>
          <w:noProof/>
          <w:sz w:val="16"/>
          <w:szCs w:val="16"/>
          <w:lang w:val="fr-FR" w:eastAsia="en-US"/>
        </w:rPr>
        <w:t xml:space="preserve">Le montant qu'il est raisonnable d'investir dans ce FCP dépend de la situation personnelle du porteur. Pour le déterminer, il doit tenir compte de son patrimoine personnel, de ses besoins d'argent actuels et à 5 ans mais également de son souhait ou non de prendre des risques. Il est également recommandé au porteur de diversifier suffisamment les investissements de son patrimoine financier afin de ne pas s'exposer uniquement aux risques de ce FCP. La durée de placement minimum recommandée est de 5 ans. </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sz w:val="16"/>
          <w:szCs w:val="16"/>
          <w:lang w:val="fr-FR" w:eastAsia="en-US"/>
        </w:rPr>
      </w:pPr>
      <w:r w:rsidRPr="00BD09A4">
        <w:rPr>
          <w:rFonts w:ascii="Arial" w:eastAsia="Arial" w:hAnsi="Arial" w:cs="Arial"/>
          <w:noProof/>
          <w:sz w:val="16"/>
          <w:szCs w:val="16"/>
          <w:lang w:val="fr-FR" w:eastAsia="en-US"/>
        </w:rPr>
        <w:t>Il s'adresse à des investisseurs ayant une connaissance a minima basique des produits et des marchés financiers, et qui acceptent un risque de perte en capital.</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sz w:val="16"/>
          <w:szCs w:val="16"/>
          <w:lang w:val="fr-FR" w:eastAsia="en-US"/>
        </w:rPr>
      </w:pPr>
      <w:r w:rsidRPr="00BD09A4">
        <w:rPr>
          <w:rFonts w:ascii="Arial" w:eastAsia="Arial" w:hAnsi="Arial" w:cs="Arial"/>
          <w:noProof/>
          <w:sz w:val="16"/>
          <w:szCs w:val="16"/>
          <w:lang w:val="fr-FR" w:eastAsia="en-US"/>
        </w:rPr>
        <w:t xml:space="preserve">Les parts de cet OPCVM n'ont pas été, ni ne seront, enregistrées en vertu du U.S. Securities Act de 1933 (ci-après, « Act de 1933 »), ou en vertu de quelque loi applicable dans un Etat américain, et les parts/actions ne pourront pas être directement ou indirectement cédées, offertes ou vendues aux EtatsUnis </w:t>
      </w:r>
      <w:r w:rsidRPr="00BD09A4">
        <w:rPr>
          <w:rFonts w:ascii="Arial" w:eastAsia="Arial" w:hAnsi="Arial" w:cs="Arial"/>
          <w:noProof/>
          <w:sz w:val="16"/>
          <w:szCs w:val="16"/>
          <w:lang w:val="fr-FR" w:eastAsia="en-US"/>
        </w:rPr>
        <w:lastRenderedPageBreak/>
        <w:t>d'Amérique (y compris ses territoires et possessions), au bénéfice de tout ressortissant des Etats-Unis d'Amérique (ci-après « U.S. Person », tel que ce terme est défini par la réglementation américaine « Regulation S » dans le cadre de l'Act de 1933 adoptée par l'Autorité américaine de régulation des marchés (« Securities and Exchange Commission » ou « SEC »), sauf si un enregistrement des parts était effectué ou une exemption était applicable avec le consentement préalable de la direction générale de la société de gestion du FCP.</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sz w:val="16"/>
          <w:szCs w:val="16"/>
          <w:lang w:val="fr-FR" w:eastAsia="en-US"/>
        </w:rPr>
      </w:pPr>
      <w:r w:rsidRPr="00BD09A4">
        <w:rPr>
          <w:rFonts w:ascii="Arial" w:eastAsia="Arial" w:hAnsi="Arial" w:cs="Arial"/>
          <w:sz w:val="16"/>
          <w:szCs w:val="16"/>
          <w:lang w:val="fr-FR" w:eastAsia="en-US"/>
        </w:rPr>
        <w:t>Les personnes qui souhaitent investir se rapprocheront de leur conseiller financier qui aidera à évaluer les solutions d’investissement en adéquation avec leurs objectifs, leur connaissance et leur expérience des marchés financiers, leur patrimoine et leur sensibilité au risque. Il présentera également les risques potentiels.</w:t>
      </w:r>
    </w:p>
    <w:p w:rsidR="00E938C0" w:rsidRPr="00E938C0" w:rsidRDefault="00E938C0" w:rsidP="00647CAD">
      <w:pPr>
        <w:spacing w:after="0" w:line="240" w:lineRule="auto"/>
        <w:jc w:val="both"/>
        <w:rPr>
          <w:rFonts w:ascii="Arial" w:eastAsia="Arial" w:hAnsi="Arial" w:cs="Arial"/>
          <w:noProof/>
          <w:sz w:val="4"/>
          <w:szCs w:val="4"/>
          <w:lang w:val="fr-FR" w:eastAsia="en-US"/>
        </w:rPr>
      </w:pPr>
    </w:p>
    <w:p w:rsidR="00CA74EA" w:rsidRPr="00647CAD" w:rsidRDefault="00CA74EA">
      <w:pPr>
        <w:spacing w:after="0" w:line="240" w:lineRule="auto"/>
        <w:jc w:val="both"/>
        <w:rPr>
          <w:rFonts w:ascii="Arial" w:eastAsia="Arial" w:hAnsi="Arial" w:cs="Arial"/>
          <w:sz w:val="2"/>
          <w:szCs w:val="2"/>
          <w:lang w:val="fr-FR" w:eastAsia="en-US"/>
        </w:rPr>
      </w:pPr>
    </w:p>
    <w:p w:rsidR="000D3BD3" w:rsidRDefault="00265E1F">
      <w:pPr>
        <w:spacing w:after="0" w:line="240" w:lineRule="auto"/>
        <w:jc w:val="both"/>
        <w:rPr>
          <w:rFonts w:ascii="Arial" w:eastAsia="Arial" w:hAnsi="Arial" w:cs="Arial"/>
          <w:i/>
          <w:sz w:val="16"/>
          <w:szCs w:val="16"/>
          <w:lang w:val="fr-FR" w:eastAsia="en-US"/>
        </w:rPr>
      </w:pPr>
      <w:r>
        <w:rPr>
          <w:rFonts w:ascii="Arial" w:eastAsia="Arial" w:hAnsi="Arial" w:cs="Arial"/>
          <w:i/>
          <w:sz w:val="16"/>
          <w:szCs w:val="16"/>
          <w:lang w:val="fr-FR" w:eastAsia="en-US"/>
        </w:rPr>
        <w:t>Pour plus d’information, veuillez-vous référer à la rubrique « Autres informations pertinentes » du document.</w:t>
      </w:r>
    </w:p>
    <w:p w:rsidR="00B440F8" w:rsidRPr="00636B16" w:rsidRDefault="00B440F8">
      <w:pPr>
        <w:spacing w:after="0" w:line="240" w:lineRule="auto"/>
        <w:jc w:val="both"/>
        <w:rPr>
          <w:rFonts w:ascii="Arial" w:eastAsia="Arial" w:hAnsi="Arial" w:cs="Arial"/>
          <w:i/>
          <w:sz w:val="8"/>
          <w:szCs w:val="8"/>
          <w:lang w:val="fr-FR" w:eastAsia="en-US"/>
        </w:rPr>
      </w:pP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QUELS SONT LES RISQUES ET QU’EST-CE QUE CELA POURRAIT ME RAPPORTER ? </w:t>
      </w:r>
    </w:p>
    <w:p w:rsidR="00CA74EA" w:rsidRDefault="00265E1F">
      <w:pPr>
        <w:spacing w:after="0" w:line="240" w:lineRule="auto"/>
        <w:jc w:val="both"/>
        <w:rPr>
          <w:rFonts w:ascii="Arial" w:eastAsia="Arial" w:hAnsi="Arial" w:cs="Arial"/>
          <w:b/>
          <w:sz w:val="16"/>
          <w:szCs w:val="16"/>
          <w:lang w:val="fr-FR" w:eastAsia="en-US"/>
        </w:rPr>
      </w:pPr>
      <w:r>
        <w:rPr>
          <w:rFonts w:ascii="Arial" w:eastAsia="Arial" w:hAnsi="Arial" w:cs="Arial"/>
          <w:b/>
          <w:sz w:val="16"/>
          <w:szCs w:val="16"/>
          <w:lang w:val="fr-FR" w:eastAsia="en-US"/>
        </w:rPr>
        <w:t>INDICATEUR DE RISQUE</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0"/>
        <w:gridCol w:w="5550"/>
      </w:tblGrid>
      <w:tr w:rsidR="00CA74EA" w:rsidRPr="00AF08CE">
        <w:trPr>
          <w:cantSplit/>
          <w:trHeight w:hRule="exact" w:val="187"/>
          <w:jc w:val="center"/>
        </w:trPr>
        <w:tc>
          <w:tcPr>
            <w:tcW w:w="5550" w:type="dxa"/>
          </w:tcPr>
          <w:p w:rsidR="00CA74EA" w:rsidRDefault="00636B16">
            <w:pPr>
              <w:spacing w:after="160" w:line="259" w:lineRule="auto"/>
              <w:jc w:val="both"/>
              <w:rPr>
                <w:rFonts w:ascii="Arial" w:eastAsia="Arial" w:hAnsi="Arial" w:cs="Arial"/>
                <w:sz w:val="16"/>
                <w:szCs w:val="16"/>
                <w:lang w:val="fr-FR" w:eastAsia="en-US"/>
              </w:rPr>
            </w:pPr>
            <w:r>
              <w:rPr>
                <w:rFonts w:ascii="Arial" w:eastAsia="Arial" w:hAnsi="Arial" w:cs="Arial"/>
                <w:sz w:val="16"/>
                <w:szCs w:val="16"/>
                <w:lang w:val="fr-FR" w:eastAsia="en-US"/>
              </w:rPr>
              <w:t>Risque le</w:t>
            </w:r>
            <w:r w:rsidR="00265E1F">
              <w:rPr>
                <w:rFonts w:ascii="Arial" w:eastAsia="Arial" w:hAnsi="Arial" w:cs="Arial"/>
                <w:sz w:val="16"/>
                <w:szCs w:val="16"/>
                <w:lang w:val="fr-FR" w:eastAsia="en-US"/>
              </w:rPr>
              <w:t xml:space="preserve"> plus faible</w:t>
            </w:r>
          </w:p>
        </w:tc>
        <w:tc>
          <w:tcPr>
            <w:tcW w:w="5550" w:type="dxa"/>
          </w:tcPr>
          <w:p w:rsidR="00CA74EA" w:rsidRDefault="00636B16">
            <w:pPr>
              <w:spacing w:after="160" w:line="259" w:lineRule="auto"/>
              <w:jc w:val="right"/>
              <w:rPr>
                <w:rFonts w:ascii="Arial" w:eastAsia="Arial" w:hAnsi="Arial" w:cs="Arial"/>
                <w:sz w:val="16"/>
                <w:szCs w:val="16"/>
                <w:lang w:val="fr-FR" w:eastAsia="en-US"/>
              </w:rPr>
            </w:pPr>
            <w:r>
              <w:rPr>
                <w:rFonts w:ascii="Arial" w:eastAsia="Arial" w:hAnsi="Arial" w:cs="Arial"/>
                <w:sz w:val="16"/>
                <w:szCs w:val="16"/>
                <w:lang w:val="fr-FR" w:eastAsia="en-US"/>
              </w:rPr>
              <w:t>Risque le</w:t>
            </w:r>
            <w:r w:rsidR="00265E1F">
              <w:rPr>
                <w:rFonts w:ascii="Arial" w:eastAsia="Arial" w:hAnsi="Arial" w:cs="Arial"/>
                <w:sz w:val="16"/>
                <w:szCs w:val="16"/>
                <w:lang w:val="fr-FR" w:eastAsia="en-US"/>
              </w:rPr>
              <w:t xml:space="preserve"> plus élevé</w:t>
            </w:r>
          </w:p>
        </w:tc>
      </w:tr>
    </w:tbl>
    <w:p w:rsidR="00CA74EA" w:rsidRDefault="00265E1F">
      <w:pPr>
        <w:spacing w:after="0"/>
        <w:jc w:val="both"/>
        <w:rPr>
          <w:rFonts w:ascii="Arial" w:eastAsia="Arial" w:hAnsi="Arial" w:cs="Arial"/>
          <w:b/>
          <w:sz w:val="16"/>
          <w:szCs w:val="16"/>
          <w:lang w:val="fr-FR" w:eastAsia="en-US"/>
        </w:rPr>
      </w:pPr>
      <w:r>
        <w:rPr>
          <w:rFonts w:ascii="Arial" w:eastAsia="Arial" w:hAnsi="Arial" w:cs="Arial"/>
          <w:b/>
          <w:noProof/>
          <w:sz w:val="16"/>
          <w:szCs w:val="16"/>
          <w:lang w:val="fr-FR" w:eastAsia="fr-FR"/>
        </w:rPr>
        <w:drawing>
          <wp:inline distT="0" distB="0" distL="0" distR="0">
            <wp:extent cx="7060758" cy="114437"/>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0758" cy="114437"/>
                    </a:xfrm>
                    <a:prstGeom prst="rect">
                      <a:avLst/>
                    </a:prstGeom>
                  </pic:spPr>
                </pic:pic>
              </a:graphicData>
            </a:graphic>
          </wp:inline>
        </w:drawing>
      </w:r>
    </w:p>
    <w:tbl>
      <w:tblPr>
        <w:tblStyle w:val="TableGrid90c47221-96aa-4ae6-9a7e-6a3bf4a29b2d"/>
        <w:tblW w:w="11109" w:type="dxa"/>
        <w:tblLook w:val="04A0" w:firstRow="1" w:lastRow="0" w:firstColumn="1" w:lastColumn="0" w:noHBand="0" w:noVBand="1"/>
      </w:tblPr>
      <w:tblGrid>
        <w:gridCol w:w="1587"/>
        <w:gridCol w:w="1587"/>
        <w:gridCol w:w="1587"/>
        <w:gridCol w:w="1587"/>
        <w:gridCol w:w="1587"/>
        <w:gridCol w:w="1587"/>
        <w:gridCol w:w="1587"/>
      </w:tblGrid>
      <w:tr w:rsidR="00CA74EA" w:rsidTr="00B440F8">
        <w:trPr>
          <w:cantSplit/>
          <w:trHeight w:hRule="exact" w:val="403"/>
        </w:trPr>
        <w:tc>
          <w:tcPr>
            <w:tcW w:w="714" w:type="pct"/>
          </w:tcPr>
          <w:p w:rsidR="00CA74EA" w:rsidRDefault="00265E1F">
            <w:pPr>
              <w:spacing w:after="160" w:line="259" w:lineRule="auto"/>
              <w:jc w:val="center"/>
              <w:rPr>
                <w:rFonts w:ascii="Arial" w:eastAsia="Arial" w:hAnsi="Arial" w:cs="Arial"/>
                <w:sz w:val="18"/>
                <w:szCs w:val="18"/>
                <w:lang w:val="fr-FR" w:eastAsia="en-US"/>
              </w:rPr>
            </w:pPr>
            <w:r>
              <w:rPr>
                <w:rFonts w:ascii="Arial" w:eastAsia="Arial" w:hAnsi="Arial" w:cs="Arial"/>
                <w:sz w:val="18"/>
                <w:szCs w:val="18"/>
                <w:lang w:val="fr-FR" w:eastAsia="en-US"/>
              </w:rPr>
              <w:t>1</w:t>
            </w:r>
          </w:p>
        </w:tc>
        <w:tc>
          <w:tcPr>
            <w:tcW w:w="714" w:type="pct"/>
          </w:tcPr>
          <w:p w:rsidR="00CA74EA" w:rsidRDefault="00265E1F">
            <w:pPr>
              <w:spacing w:after="160" w:line="259" w:lineRule="auto"/>
              <w:jc w:val="center"/>
              <w:rPr>
                <w:rFonts w:ascii="Arial" w:eastAsia="Arial" w:hAnsi="Arial" w:cs="Arial"/>
                <w:sz w:val="18"/>
                <w:szCs w:val="18"/>
                <w:lang w:val="fr-FR" w:eastAsia="en-US"/>
              </w:rPr>
            </w:pPr>
            <w:r>
              <w:rPr>
                <w:rFonts w:ascii="Arial" w:eastAsia="Arial" w:hAnsi="Arial" w:cs="Arial"/>
                <w:sz w:val="18"/>
                <w:szCs w:val="18"/>
                <w:lang w:val="fr-FR" w:eastAsia="en-US"/>
              </w:rPr>
              <w:t>2</w:t>
            </w:r>
          </w:p>
        </w:tc>
        <w:tc>
          <w:tcPr>
            <w:tcW w:w="714" w:type="pct"/>
          </w:tcPr>
          <w:p w:rsidR="00CA74EA" w:rsidRDefault="00265E1F">
            <w:pPr>
              <w:spacing w:after="160" w:line="259" w:lineRule="auto"/>
              <w:jc w:val="center"/>
              <w:rPr>
                <w:rFonts w:ascii="Arial" w:eastAsia="Arial" w:hAnsi="Arial" w:cs="Arial"/>
                <w:sz w:val="18"/>
                <w:szCs w:val="18"/>
                <w:lang w:val="fr-FR" w:eastAsia="en-US"/>
              </w:rPr>
            </w:pPr>
            <w:r>
              <w:rPr>
                <w:rFonts w:ascii="Arial" w:eastAsia="Arial" w:hAnsi="Arial" w:cs="Arial"/>
                <w:sz w:val="18"/>
                <w:szCs w:val="18"/>
                <w:lang w:val="fr-FR" w:eastAsia="en-US"/>
              </w:rPr>
              <w:t>3</w:t>
            </w:r>
          </w:p>
        </w:tc>
        <w:tc>
          <w:tcPr>
            <w:tcW w:w="714" w:type="pct"/>
          </w:tcPr>
          <w:p w:rsidR="00CA74EA" w:rsidRDefault="00265E1F">
            <w:pPr>
              <w:spacing w:after="160" w:line="259" w:lineRule="auto"/>
              <w:jc w:val="center"/>
              <w:rPr>
                <w:rFonts w:ascii="Arial" w:eastAsia="Arial" w:hAnsi="Arial" w:cs="Arial"/>
                <w:sz w:val="18"/>
                <w:szCs w:val="18"/>
                <w:lang w:val="fr-FR" w:eastAsia="en-US"/>
              </w:rPr>
            </w:pPr>
            <w:r>
              <w:rPr>
                <w:rFonts w:ascii="Arial" w:eastAsia="Arial" w:hAnsi="Arial" w:cs="Arial"/>
                <w:sz w:val="18"/>
                <w:szCs w:val="18"/>
                <w:lang w:val="fr-FR" w:eastAsia="en-US"/>
              </w:rPr>
              <w:t>4</w:t>
            </w:r>
          </w:p>
        </w:tc>
        <w:tc>
          <w:tcPr>
            <w:tcW w:w="714" w:type="pct"/>
            <w:shd w:val="clear" w:color="auto" w:fill="D9E2F3" w:themeFill="accent5" w:themeFillTint="33"/>
          </w:tcPr>
          <w:p w:rsidR="00CA74EA" w:rsidRDefault="00265E1F">
            <w:pPr>
              <w:spacing w:after="160" w:line="259" w:lineRule="auto"/>
              <w:jc w:val="center"/>
              <w:rPr>
                <w:rFonts w:ascii="Arial" w:eastAsia="Arial" w:hAnsi="Arial" w:cs="Arial"/>
                <w:sz w:val="18"/>
                <w:szCs w:val="18"/>
                <w:lang w:val="fr-FR" w:eastAsia="en-US"/>
              </w:rPr>
            </w:pPr>
            <w:r>
              <w:rPr>
                <w:rFonts w:ascii="Arial" w:eastAsia="Arial" w:hAnsi="Arial" w:cs="Arial"/>
                <w:sz w:val="18"/>
                <w:szCs w:val="18"/>
                <w:lang w:val="fr-FR" w:eastAsia="en-US"/>
              </w:rPr>
              <w:t>5</w:t>
            </w:r>
          </w:p>
        </w:tc>
        <w:tc>
          <w:tcPr>
            <w:tcW w:w="714" w:type="pct"/>
          </w:tcPr>
          <w:p w:rsidR="00CA74EA" w:rsidRDefault="00265E1F">
            <w:pPr>
              <w:spacing w:after="160" w:line="259" w:lineRule="auto"/>
              <w:jc w:val="center"/>
              <w:rPr>
                <w:rFonts w:ascii="Arial" w:eastAsia="Arial" w:hAnsi="Arial" w:cs="Arial"/>
                <w:sz w:val="18"/>
                <w:szCs w:val="18"/>
                <w:lang w:val="fr-FR" w:eastAsia="en-US"/>
              </w:rPr>
            </w:pPr>
            <w:r>
              <w:rPr>
                <w:rFonts w:ascii="Arial" w:eastAsia="Arial" w:hAnsi="Arial" w:cs="Arial"/>
                <w:sz w:val="18"/>
                <w:szCs w:val="18"/>
                <w:lang w:val="fr-FR" w:eastAsia="en-US"/>
              </w:rPr>
              <w:t>6</w:t>
            </w:r>
          </w:p>
        </w:tc>
        <w:tc>
          <w:tcPr>
            <w:tcW w:w="714" w:type="pct"/>
          </w:tcPr>
          <w:p w:rsidR="00CA74EA" w:rsidRDefault="00265E1F">
            <w:pPr>
              <w:spacing w:after="160" w:line="259" w:lineRule="auto"/>
              <w:jc w:val="center"/>
              <w:rPr>
                <w:rFonts w:ascii="Arial" w:eastAsia="Arial" w:hAnsi="Arial" w:cs="Arial"/>
                <w:sz w:val="18"/>
                <w:szCs w:val="18"/>
                <w:lang w:val="fr-FR" w:eastAsia="en-US"/>
              </w:rPr>
            </w:pPr>
            <w:r>
              <w:rPr>
                <w:rFonts w:ascii="Arial" w:eastAsia="Arial" w:hAnsi="Arial" w:cs="Arial"/>
                <w:sz w:val="18"/>
                <w:szCs w:val="18"/>
                <w:lang w:val="fr-FR" w:eastAsia="en-US"/>
              </w:rPr>
              <w:t>7</w:t>
            </w:r>
          </w:p>
        </w:tc>
      </w:tr>
    </w:tbl>
    <w:p w:rsidR="00647CAD" w:rsidRPr="00647CAD" w:rsidRDefault="00647CAD">
      <w:pPr>
        <w:spacing w:after="0" w:line="240" w:lineRule="auto"/>
        <w:jc w:val="both"/>
        <w:rPr>
          <w:rFonts w:ascii="Arial" w:eastAsia="Arial" w:hAnsi="Arial" w:cs="Arial"/>
          <w:noProof/>
          <w:sz w:val="4"/>
          <w:szCs w:val="4"/>
          <w:lang w:val="fr-FR" w:eastAsia="en-US"/>
        </w:rPr>
      </w:pPr>
    </w:p>
    <w:p w:rsidR="00647CAD" w:rsidRPr="00647CAD" w:rsidRDefault="00647CAD">
      <w:pPr>
        <w:spacing w:after="0" w:line="240" w:lineRule="auto"/>
        <w:jc w:val="both"/>
        <w:rPr>
          <w:rFonts w:ascii="Arial" w:eastAsia="Arial" w:hAnsi="Arial" w:cs="Arial"/>
          <w:noProof/>
          <w:sz w:val="4"/>
          <w:szCs w:val="4"/>
          <w:lang w:val="fr-FR" w:eastAsia="en-US"/>
        </w:rPr>
      </w:pPr>
    </w:p>
    <w:p w:rsidR="00CA74EA" w:rsidRDefault="00C4122B">
      <w:pPr>
        <w:spacing w:after="0" w:line="240" w:lineRule="auto"/>
        <w:jc w:val="both"/>
        <w:rPr>
          <w:rFonts w:ascii="Arial" w:eastAsia="Arial" w:hAnsi="Arial" w:cs="Arial"/>
          <w:sz w:val="16"/>
          <w:szCs w:val="16"/>
          <w:lang w:val="fr-FR" w:eastAsia="en-US"/>
        </w:rPr>
      </w:pPr>
      <w:r w:rsidRPr="00CB5BF4">
        <w:rPr>
          <w:rFonts w:ascii="Arial" w:eastAsia="Arial" w:hAnsi="Arial" w:cs="Arial"/>
          <w:noProof/>
          <w:sz w:val="16"/>
          <w:szCs w:val="16"/>
          <w:lang w:val="fr-FR" w:eastAsia="fr-FR"/>
        </w:rPr>
        <mc:AlternateContent>
          <mc:Choice Requires="wpg">
            <w:drawing>
              <wp:anchor distT="0" distB="0" distL="114300" distR="114300" simplePos="0" relativeHeight="251658240" behindDoc="0" locked="0" layoutInCell="1" allowOverlap="1">
                <wp:simplePos x="0" y="0"/>
                <wp:positionH relativeFrom="column">
                  <wp:posOffset>17780</wp:posOffset>
                </wp:positionH>
                <wp:positionV relativeFrom="paragraph">
                  <wp:posOffset>24765</wp:posOffset>
                </wp:positionV>
                <wp:extent cx="331470" cy="363220"/>
                <wp:effectExtent l="19050" t="19050" r="30480" b="0"/>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363220"/>
                          <a:chOff x="0" y="0"/>
                          <a:chExt cx="715224" cy="716218"/>
                        </a:xfrm>
                      </wpg:grpSpPr>
                      <wps:wsp>
                        <wps:cNvPr id="10" name="Triangle isocèle 3"/>
                        <wps:cNvSpPr>
                          <a:spLocks noChangeArrowheads="1"/>
                        </wps:cNvSpPr>
                        <wps:spPr bwMode="auto">
                          <a:xfrm>
                            <a:off x="0" y="0"/>
                            <a:ext cx="715224" cy="687818"/>
                          </a:xfrm>
                          <a:prstGeom prst="triangle">
                            <a:avLst>
                              <a:gd name="adj" fmla="val 50000"/>
                            </a:avLst>
                          </a:prstGeom>
                          <a:solidFill>
                            <a:srgbClr val="004494"/>
                          </a:solidFill>
                          <a:ln w="12700" algn="ctr">
                            <a:solidFill>
                              <a:srgbClr val="004494"/>
                            </a:solidFill>
                            <a:miter lim="800000"/>
                            <a:headEnd/>
                            <a:tailEnd/>
                          </a:ln>
                        </wps:spPr>
                        <wps:txbx>
                          <w:txbxContent>
                            <w:p w:rsidR="00C4122B" w:rsidRPr="0056569E" w:rsidRDefault="00C4122B" w:rsidP="00C4122B">
                              <w:pPr>
                                <w:jc w:val="center"/>
                                <w:rPr>
                                  <w:sz w:val="36"/>
                                </w:rPr>
                              </w:pPr>
                            </w:p>
                          </w:txbxContent>
                        </wps:txbx>
                        <wps:bodyPr rot="0" vert="horz" wrap="square" lIns="91440" tIns="45720" rIns="91440" bIns="45720" anchor="ctr" anchorCtr="0" upright="1">
                          <a:noAutofit/>
                        </wps:bodyPr>
                      </wps:wsp>
                      <wps:wsp>
                        <wps:cNvPr id="12" name="Zone de texte 4"/>
                        <wps:cNvSpPr txBox="1">
                          <a:spLocks noChangeArrowheads="1"/>
                        </wps:cNvSpPr>
                        <wps:spPr bwMode="auto">
                          <a:xfrm>
                            <a:off x="151533" y="132270"/>
                            <a:ext cx="294238" cy="583948"/>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122B" w:rsidRPr="00B062AF" w:rsidRDefault="00C4122B" w:rsidP="00C4122B">
                              <w:pPr>
                                <w:rPr>
                                  <w:rFonts w:ascii="Arial" w:hAnsi="Arial" w:cs="Arial"/>
                                  <w:color w:val="FFFFFF"/>
                                  <w:sz w:val="32"/>
                                </w:rPr>
                              </w:pPr>
                              <w:r w:rsidRPr="00B062AF">
                                <w:rPr>
                                  <w:rFonts w:ascii="Arial" w:hAnsi="Arial" w:cs="Arial"/>
                                  <w:color w:val="FFFFFF"/>
                                  <w:sz w:val="32"/>
                                </w:rPr>
                                <w:t>!</w:t>
                              </w:r>
                            </w:p>
                          </w:txbxContent>
                        </wps:txbx>
                        <wps:bodyPr rot="0" vert="horz" wrap="square" lIns="91440" tIns="45720" rIns="91440" bIns="45720" anchor="t" anchorCtr="0" upright="1">
                          <a:noAutofit/>
                        </wps:bodyPr>
                      </wps:wsp>
                    </wpg:wgp>
                  </a:graphicData>
                </a:graphic>
              </wp:anchor>
            </w:drawing>
          </mc:Choice>
          <mc:Fallback>
            <w:pict>
              <v:group id="Groupe 7" o:spid="_x0000_s1026" style="position:absolute;left:0;text-align:left;margin-left:1.4pt;margin-top:1.95pt;width:26.1pt;height:28.6pt;z-index:251658240" coordsize="7152,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 o:spid="_x0000_s1027" type="#_x0000_t5" style="position:absolute;width:7152;height:6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" fillcolor="#004494" strokecolor="#004494" strokeweight="1pt">
                  <v:textbox>
                    <w:txbxContent>
                      <w:p w:rsidR="00C4122B" w:rsidRPr="0056569E" w:rsidRDefault="00C4122B" w:rsidP="00C4122B">
                        <w:pPr>
                          <w:jc w:val="center"/>
                          <w:rPr>
                            <w:sz w:val="36"/>
                          </w:rPr>
                        </w:pPr>
                      </w:p>
                    </w:txbxContent>
                  </v:textbox>
                </v:shape>
                <v:shapetype id="_x0000_t202" coordsize="21600,21600" o:spt="202" path="m,l,21600r21600,l21600,xe">
                  <v:stroke joinstyle="miter"/>
                  <v:path gradientshapeok="t" o:connecttype="rect"/>
                </v:shapetype>
                <v:shape id="Zone de texte 4" o:spid="_x0000_s1028" type="#_x0000_t202" style="position:absolute;left:1515;top:1322;width:2942;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" stroked="f" strokeweight=".5pt">
                  <v:fill opacity="0"/>
                  <v:textbox>
                    <w:txbxContent>
                      <w:p w:rsidR="00C4122B" w:rsidRPr="00B062AF" w:rsidRDefault="00C4122B" w:rsidP="00C4122B">
                        <w:pPr>
                          <w:rPr>
                            <w:rFonts w:ascii="Arial" w:hAnsi="Arial" w:cs="Arial"/>
                            <w:color w:val="FFFFFF"/>
                            <w:sz w:val="32"/>
                          </w:rPr>
                        </w:pPr>
                        <w:r w:rsidRPr="00B062AF">
                          <w:rPr>
                            <w:rFonts w:ascii="Arial" w:hAnsi="Arial" w:cs="Arial"/>
                            <w:color w:val="FFFFFF"/>
                            <w:sz w:val="32"/>
                          </w:rPr>
                          <w:t>!</w:t>
                        </w:r>
                      </w:p>
                    </w:txbxContent>
                  </v:textbox>
                </v:shape>
                <w10:wrap type="square"/>
              </v:group>
            </w:pict>
          </mc:Fallback>
        </mc:AlternateContent>
      </w:r>
      <w:r w:rsidR="00265E1F">
        <w:rPr>
          <w:rFonts w:ascii="Arial" w:eastAsia="Arial" w:hAnsi="Arial" w:cs="Arial"/>
          <w:noProof/>
          <w:sz w:val="16"/>
          <w:szCs w:val="16"/>
          <w:lang w:val="fr-FR" w:eastAsia="en-US"/>
        </w:rPr>
        <w:t>L'indicateur de risque part de l'hypothèse que vous conservez cet OPCVM pour une durée supérieure à 5 ans.</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Ce produit pourrait ne pas convenir aux investisseurs qui prévoient de retirer leur apport avant l'expiration de ce délai.</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Le risque réel peut être très différent si vous optez pour une sortie avant l'expiration de ce délai, et vous pourriez obtenir moins en retour.</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L'indicateur synthétique de risque permet d'apprécier le niveau de risque de ce produit par rapport à d'autres. Il indique la probabilité que ce produit enregistre des pertes en cas de mouvements sur les marchés ou d'une impossibilité de notre part de vous payer.</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sz w:val="16"/>
          <w:szCs w:val="16"/>
          <w:lang w:val="fr-FR" w:eastAsia="en-US"/>
        </w:rPr>
        <w:t>Nous avons classé ce produit dans la classe de risque 5 sur 7, qui est « une classe de risque entre moyenne et élevée ».</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sz w:val="16"/>
          <w:szCs w:val="16"/>
          <w:lang w:val="fr-FR" w:eastAsia="en-US"/>
        </w:rPr>
        <w:t>Autrement dit, les pertes potentielles liées aux futurs résultats du produit se situent à un niveau « entre moyen et élevé » et, si la situation venait à se détériorer sur les marchés, il est « probable » que la valeur liquidative de ce produit en soit affectée.</w:t>
      </w:r>
    </w:p>
    <w:p w:rsidR="004077BB" w:rsidRPr="004077BB" w:rsidRDefault="004077BB">
      <w:pPr>
        <w:spacing w:after="0" w:line="240" w:lineRule="auto"/>
        <w:jc w:val="both"/>
        <w:rPr>
          <w:rFonts w:ascii="Arial" w:eastAsia="Arial" w:hAnsi="Arial" w:cs="Arial"/>
          <w:sz w:val="10"/>
          <w:szCs w:val="10"/>
          <w:lang w:val="fr-FR" w:eastAsia="en-US"/>
        </w:rPr>
      </w:pPr>
    </w:p>
    <w:p w:rsidR="00BD09A4" w:rsidRPr="00BD09A4" w:rsidRDefault="00BD09A4" w:rsidP="00BD09A4">
      <w:pPr>
        <w:widowControl w:val="0"/>
        <w:autoSpaceDE w:val="0"/>
        <w:autoSpaceDN w:val="0"/>
        <w:adjustRightInd w:val="0"/>
        <w:spacing w:after="0" w:line="240" w:lineRule="auto"/>
        <w:jc w:val="both"/>
        <w:rPr>
          <w:rFonts w:ascii="Arial" w:eastAsia="Arial" w:hAnsi="Arial" w:cs="Arial"/>
          <w:noProof/>
          <w:sz w:val="16"/>
          <w:szCs w:val="16"/>
          <w:lang w:val="fr-FR" w:eastAsia="en-US"/>
        </w:rPr>
      </w:pPr>
      <w:r w:rsidRPr="00BD09A4">
        <w:rPr>
          <w:rFonts w:ascii="Arial" w:eastAsia="Arial" w:hAnsi="Arial" w:cs="Arial"/>
          <w:b/>
          <w:noProof/>
          <w:sz w:val="16"/>
          <w:szCs w:val="16"/>
          <w:lang w:val="fr-FR" w:eastAsia="en-US"/>
        </w:rPr>
        <w:t xml:space="preserve">Risques non compris dans l’indicateur synthétique de risque : </w:t>
      </w:r>
      <w:r w:rsidRPr="00BD09A4">
        <w:rPr>
          <w:rFonts w:ascii="Arial" w:eastAsia="Arial" w:hAnsi="Arial" w:cs="Arial"/>
          <w:noProof/>
          <w:sz w:val="16"/>
          <w:szCs w:val="16"/>
          <w:lang w:val="fr-FR" w:eastAsia="en-US"/>
        </w:rPr>
        <w:t xml:space="preserve">Les risques suivants peuvent entraîner une baisse de la valeur liquidative : </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noProof/>
          <w:sz w:val="4"/>
          <w:szCs w:val="4"/>
          <w:lang w:val="fr-FR" w:eastAsia="en-US"/>
        </w:rPr>
      </w:pPr>
    </w:p>
    <w:p w:rsidR="00BD09A4" w:rsidRPr="00BD09A4" w:rsidRDefault="00BD09A4" w:rsidP="00BD09A4">
      <w:pPr>
        <w:autoSpaceDE w:val="0"/>
        <w:autoSpaceDN w:val="0"/>
        <w:adjustRightInd w:val="0"/>
        <w:spacing w:after="0" w:line="240" w:lineRule="auto"/>
        <w:rPr>
          <w:rFonts w:ascii="Arial" w:eastAsia="Arial" w:hAnsi="Arial" w:cs="Arial"/>
          <w:color w:val="000000"/>
          <w:sz w:val="16"/>
          <w:szCs w:val="16"/>
          <w:lang w:val="fr-FR" w:eastAsia="fr-FR"/>
        </w:rPr>
      </w:pPr>
      <w:r w:rsidRPr="00BD09A4">
        <w:rPr>
          <w:rFonts w:ascii="Arial" w:eastAsia="Arial" w:hAnsi="Arial" w:cs="Arial"/>
          <w:color w:val="000000"/>
          <w:sz w:val="16"/>
          <w:szCs w:val="16"/>
          <w:lang w:val="fr-FR" w:eastAsia="fr-FR"/>
        </w:rPr>
        <w:t>- Risque de crédit et de contrepartie : le fonds peut subir des pertes en cas de baisse de la qualité du crédit d'un émetteur privé ou public ou de défaut de ces derniers ou plus rarement (du fait d’un investissement rare pour GSD Europe) de défaillance d'une contrepartie incapable de faire face à ses obligations contractuelles, notamment dans le cadre d'opérations impliquant des instruments dérivés sur des marchés de gré à gré.</w:t>
      </w:r>
    </w:p>
    <w:p w:rsidR="00BD09A4" w:rsidRPr="00BD09A4" w:rsidRDefault="00BD09A4" w:rsidP="00BD09A4">
      <w:pPr>
        <w:autoSpaceDE w:val="0"/>
        <w:autoSpaceDN w:val="0"/>
        <w:adjustRightInd w:val="0"/>
        <w:spacing w:after="0" w:line="240" w:lineRule="auto"/>
        <w:rPr>
          <w:rFonts w:ascii="Arial" w:hAnsi="Arial" w:cs="Arial"/>
          <w:color w:val="000000"/>
          <w:sz w:val="4"/>
          <w:szCs w:val="4"/>
          <w:lang w:val="fr-FR" w:eastAsia="fr-FR"/>
        </w:rPr>
      </w:pPr>
    </w:p>
    <w:p w:rsidR="00BD09A4" w:rsidRPr="00BD09A4" w:rsidRDefault="00BD09A4" w:rsidP="00BD09A4">
      <w:pPr>
        <w:widowControl w:val="0"/>
        <w:autoSpaceDE w:val="0"/>
        <w:autoSpaceDN w:val="0"/>
        <w:adjustRightInd w:val="0"/>
        <w:spacing w:after="0" w:line="240" w:lineRule="auto"/>
        <w:jc w:val="both"/>
        <w:rPr>
          <w:rFonts w:ascii="Arial" w:eastAsia="Arial" w:hAnsi="Arial" w:cs="Arial"/>
          <w:i/>
          <w:sz w:val="16"/>
          <w:szCs w:val="16"/>
          <w:lang w:val="fr-FR" w:eastAsia="en-US"/>
        </w:rPr>
      </w:pPr>
      <w:r w:rsidRPr="00BD09A4">
        <w:rPr>
          <w:rFonts w:ascii="Arial" w:eastAsia="Arial" w:hAnsi="Arial" w:cs="Arial"/>
          <w:i/>
          <w:noProof/>
          <w:sz w:val="16"/>
          <w:szCs w:val="16"/>
          <w:lang w:val="fr-FR" w:eastAsia="en-US"/>
        </w:rPr>
        <w:t>Pour plus d'informations, veuillez-vous référer au profil de risque du prospectus.</w:t>
      </w:r>
    </w:p>
    <w:p w:rsidR="00BD09A4" w:rsidRPr="00BD09A4" w:rsidRDefault="00BD09A4" w:rsidP="00BD09A4">
      <w:pPr>
        <w:widowControl w:val="0"/>
        <w:autoSpaceDE w:val="0"/>
        <w:autoSpaceDN w:val="0"/>
        <w:adjustRightInd w:val="0"/>
        <w:spacing w:after="0" w:line="240" w:lineRule="auto"/>
        <w:jc w:val="both"/>
        <w:rPr>
          <w:rFonts w:ascii="Arial" w:eastAsia="Arial" w:hAnsi="Arial" w:cs="Arial"/>
          <w:noProof/>
          <w:sz w:val="16"/>
          <w:szCs w:val="16"/>
          <w:lang w:val="fr-FR" w:eastAsia="en-US"/>
        </w:rPr>
      </w:pPr>
      <w:r w:rsidRPr="00BD09A4">
        <w:rPr>
          <w:rFonts w:ascii="Arial" w:eastAsia="Arial" w:hAnsi="Arial" w:cs="Arial"/>
          <w:noProof/>
          <w:sz w:val="16"/>
          <w:szCs w:val="16"/>
          <w:lang w:val="fr-FR" w:eastAsia="en-US"/>
        </w:rPr>
        <w:t>Ce produit ne prévoyant pas de protection contre les aléas de marché, vous pourriez perdre tout ou partie de votre investissement.</w:t>
      </w:r>
    </w:p>
    <w:p w:rsidR="000D3BD3" w:rsidRPr="00636B16" w:rsidRDefault="000D3BD3">
      <w:pPr>
        <w:spacing w:after="0" w:line="240" w:lineRule="auto"/>
        <w:jc w:val="both"/>
        <w:rPr>
          <w:rFonts w:ascii="Arial" w:eastAsia="Arial" w:hAnsi="Arial" w:cs="Arial"/>
          <w:b/>
          <w:sz w:val="8"/>
          <w:szCs w:val="8"/>
          <w:lang w:val="fr-FR" w:eastAsia="en-US"/>
        </w:rPr>
      </w:pPr>
    </w:p>
    <w:p w:rsidR="00CA74EA" w:rsidRDefault="00265E1F">
      <w:pPr>
        <w:spacing w:after="0" w:line="240" w:lineRule="auto"/>
        <w:jc w:val="both"/>
        <w:rPr>
          <w:rFonts w:ascii="Arial" w:eastAsia="Arial" w:hAnsi="Arial" w:cs="Arial"/>
          <w:b/>
          <w:sz w:val="16"/>
          <w:szCs w:val="16"/>
          <w:lang w:val="fr-FR" w:eastAsia="en-US"/>
        </w:rPr>
      </w:pPr>
      <w:r>
        <w:rPr>
          <w:rFonts w:ascii="Arial" w:eastAsia="Arial" w:hAnsi="Arial" w:cs="Arial"/>
          <w:b/>
          <w:sz w:val="16"/>
          <w:szCs w:val="16"/>
          <w:lang w:val="fr-FR" w:eastAsia="en-US"/>
        </w:rPr>
        <w:t>SCENARIOS DE PERFORMANCE</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Les chiffres indiqués comprennent tous les coûts du produit lui-même, mais pas nécessairement tous les frais dus à votre conseiller ou distributeur. Ces chiffres ne tiennent pas compte de votre situation fiscale personnelle, qui peut également influer sur les montants que vous recevrez.</w:t>
      </w:r>
    </w:p>
    <w:p w:rsidR="00835E27" w:rsidRPr="00835E27" w:rsidRDefault="00265E1F">
      <w:pPr>
        <w:spacing w:after="0" w:line="240" w:lineRule="auto"/>
        <w:jc w:val="both"/>
        <w:rPr>
          <w:rFonts w:ascii="Arial" w:eastAsia="Arial" w:hAnsi="Arial" w:cs="Arial"/>
          <w:sz w:val="4"/>
          <w:szCs w:val="4"/>
          <w:u w:val="single"/>
          <w:lang w:val="fr-FR" w:eastAsia="en-US"/>
        </w:rPr>
      </w:pPr>
      <w:r>
        <w:rPr>
          <w:rFonts w:ascii="Arial" w:eastAsia="Arial" w:hAnsi="Arial" w:cs="Arial"/>
          <w:noProof/>
          <w:sz w:val="16"/>
          <w:szCs w:val="16"/>
          <w:lang w:val="fr-FR" w:eastAsia="en-US"/>
        </w:rPr>
        <w:t xml:space="preserve">Ce que vous obtiendrez de ce produit dépend des performances futures du marché. </w:t>
      </w:r>
    </w:p>
    <w:p w:rsidR="00B440F8" w:rsidRPr="006629A3" w:rsidRDefault="00B440F8" w:rsidP="00B440F8">
      <w:pPr>
        <w:spacing w:after="0" w:line="240" w:lineRule="auto"/>
        <w:jc w:val="both"/>
        <w:rPr>
          <w:rFonts w:ascii="Arial" w:eastAsia="Arial" w:hAnsi="Arial" w:cs="Arial"/>
          <w:noProof/>
          <w:sz w:val="16"/>
          <w:szCs w:val="16"/>
          <w:lang w:val="fr-FR" w:eastAsia="en-US"/>
        </w:rPr>
      </w:pPr>
      <w:r w:rsidRPr="006629A3">
        <w:rPr>
          <w:rFonts w:ascii="Arial" w:eastAsia="Arial" w:hAnsi="Arial" w:cs="Arial"/>
          <w:noProof/>
          <w:sz w:val="16"/>
          <w:szCs w:val="16"/>
          <w:lang w:val="fr-FR" w:eastAsia="en-US"/>
        </w:rPr>
        <w:t>Les scénarios défavorable, intermédiaire et favorable présentés représentent des exemples utilisant les meilleure et pire performances, ainsi que la performance médiane de ce produit au cours des 10 dernières années. Les scénarios présentés représentent des exemples basés sur les résultats du passé et sur certaines hypothèses. Les marchés pourraient évoluer très différemment à l'avenir.</w:t>
      </w:r>
    </w:p>
    <w:p w:rsidR="00B440F8" w:rsidRPr="00636B16" w:rsidRDefault="00B440F8">
      <w:pPr>
        <w:spacing w:after="0" w:line="240" w:lineRule="auto"/>
        <w:jc w:val="both"/>
        <w:rPr>
          <w:rFonts w:ascii="Arial" w:eastAsia="Arial" w:hAnsi="Arial" w:cs="Arial"/>
          <w:i/>
          <w:sz w:val="8"/>
          <w:szCs w:val="8"/>
          <w:lang w:val="fr-FR" w:eastAsia="en-US"/>
        </w:rPr>
      </w:pPr>
    </w:p>
    <w:p w:rsidR="00CA74EA" w:rsidRDefault="00265E1F">
      <w:pPr>
        <w:spacing w:after="0" w:line="240" w:lineRule="auto"/>
        <w:jc w:val="both"/>
        <w:rPr>
          <w:rFonts w:ascii="Arial" w:eastAsia="Arial" w:hAnsi="Arial" w:cs="Arial"/>
          <w:i/>
          <w:sz w:val="16"/>
          <w:szCs w:val="16"/>
          <w:lang w:val="fr-FR" w:eastAsia="en-US"/>
        </w:rPr>
      </w:pPr>
      <w:r w:rsidRPr="00647CAD">
        <w:rPr>
          <w:rFonts w:ascii="Arial" w:eastAsia="Arial" w:hAnsi="Arial" w:cs="Arial"/>
          <w:i/>
          <w:sz w:val="16"/>
          <w:szCs w:val="16"/>
          <w:lang w:val="fr-FR" w:eastAsia="en-US"/>
        </w:rPr>
        <w:t>Montants en EUR : arrondis à 10€ près</w:t>
      </w:r>
    </w:p>
    <w:p w:rsidR="00E938C0" w:rsidRPr="00E938C0" w:rsidRDefault="00E938C0">
      <w:pPr>
        <w:spacing w:after="0" w:line="240" w:lineRule="auto"/>
        <w:jc w:val="both"/>
        <w:rPr>
          <w:rFonts w:ascii="Arial" w:eastAsia="Arial" w:hAnsi="Arial" w:cs="Arial"/>
          <w:i/>
          <w:sz w:val="4"/>
          <w:szCs w:val="4"/>
          <w:lang w:val="fr-FR" w:eastAsia="en-US"/>
        </w:rPr>
      </w:pPr>
    </w:p>
    <w:tbl>
      <w:tblPr>
        <w:tblW w:w="11194" w:type="dxa"/>
        <w:tblCellMar>
          <w:left w:w="70" w:type="dxa"/>
          <w:right w:w="70" w:type="dxa"/>
        </w:tblCellMar>
        <w:tblLook w:val="04A0" w:firstRow="1" w:lastRow="0" w:firstColumn="1" w:lastColumn="0" w:noHBand="0" w:noVBand="1"/>
      </w:tblPr>
      <w:tblGrid>
        <w:gridCol w:w="1960"/>
        <w:gridCol w:w="5548"/>
        <w:gridCol w:w="1843"/>
        <w:gridCol w:w="1843"/>
      </w:tblGrid>
      <w:tr w:rsidR="00636B16" w:rsidRPr="00636B16" w:rsidTr="00636B16">
        <w:trPr>
          <w:trHeight w:val="300"/>
        </w:trPr>
        <w:tc>
          <w:tcPr>
            <w:tcW w:w="7508" w:type="dxa"/>
            <w:gridSpan w:val="2"/>
            <w:tcBorders>
              <w:top w:val="single" w:sz="4" w:space="0" w:color="auto"/>
              <w:left w:val="single" w:sz="4" w:space="0" w:color="auto"/>
              <w:bottom w:val="nil"/>
              <w:right w:val="nil"/>
            </w:tcBorders>
            <w:shd w:val="clear" w:color="000000" w:fill="305496"/>
            <w:noWrap/>
            <w:vAlign w:val="center"/>
            <w:hideMark/>
          </w:tcPr>
          <w:p w:rsidR="00636B16" w:rsidRPr="00636B16" w:rsidRDefault="00636B16" w:rsidP="00636B16">
            <w:pPr>
              <w:spacing w:after="0" w:line="240" w:lineRule="auto"/>
              <w:rPr>
                <w:rFonts w:ascii="Arial" w:hAnsi="Arial" w:cs="Arial"/>
                <w:b/>
                <w:bCs/>
                <w:color w:val="FFFFFF"/>
                <w:sz w:val="16"/>
                <w:szCs w:val="16"/>
                <w:lang w:val="fr-FR" w:eastAsia="fr-FR"/>
              </w:rPr>
            </w:pPr>
            <w:r w:rsidRPr="00636B16">
              <w:rPr>
                <w:rFonts w:ascii="Arial" w:hAnsi="Arial" w:cs="Arial"/>
                <w:b/>
                <w:bCs/>
                <w:color w:val="FFFFFF"/>
                <w:sz w:val="16"/>
                <w:szCs w:val="16"/>
                <w:lang w:val="fr-FR" w:eastAsia="fr-FR"/>
              </w:rPr>
              <w:t>Période de détention recommandée : 5 ans</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rsidR="00636B16" w:rsidRPr="00636B16" w:rsidRDefault="00636B16" w:rsidP="00636B16">
            <w:pPr>
              <w:spacing w:after="0" w:line="240" w:lineRule="auto"/>
              <w:jc w:val="center"/>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Si vous sortez après 1 an</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rsidR="00636B16" w:rsidRPr="00636B16" w:rsidRDefault="00636B16" w:rsidP="00636B16">
            <w:pPr>
              <w:spacing w:after="0" w:line="240" w:lineRule="auto"/>
              <w:jc w:val="center"/>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Si vous sortez après 5 ans</w:t>
            </w:r>
          </w:p>
        </w:tc>
      </w:tr>
      <w:tr w:rsidR="00636B16" w:rsidRPr="00636B16" w:rsidTr="00636B16">
        <w:trPr>
          <w:trHeight w:val="300"/>
        </w:trPr>
        <w:tc>
          <w:tcPr>
            <w:tcW w:w="7508" w:type="dxa"/>
            <w:gridSpan w:val="2"/>
            <w:tcBorders>
              <w:top w:val="nil"/>
              <w:left w:val="single" w:sz="4" w:space="0" w:color="auto"/>
              <w:bottom w:val="single" w:sz="4" w:space="0" w:color="auto"/>
              <w:right w:val="nil"/>
            </w:tcBorders>
            <w:shd w:val="clear" w:color="000000" w:fill="305496"/>
            <w:noWrap/>
            <w:vAlign w:val="center"/>
            <w:hideMark/>
          </w:tcPr>
          <w:p w:rsidR="00636B16" w:rsidRPr="00636B16" w:rsidRDefault="00636B16" w:rsidP="00636B16">
            <w:pPr>
              <w:spacing w:after="0" w:line="240" w:lineRule="auto"/>
              <w:rPr>
                <w:rFonts w:ascii="Arial" w:hAnsi="Arial" w:cs="Arial"/>
                <w:b/>
                <w:bCs/>
                <w:color w:val="FFFFFF"/>
                <w:sz w:val="16"/>
                <w:szCs w:val="16"/>
                <w:lang w:val="fr-FR" w:eastAsia="fr-FR"/>
              </w:rPr>
            </w:pPr>
            <w:r w:rsidRPr="00636B16">
              <w:rPr>
                <w:rFonts w:ascii="Arial" w:hAnsi="Arial" w:cs="Arial"/>
                <w:b/>
                <w:bCs/>
                <w:color w:val="FFFFFF"/>
                <w:sz w:val="16"/>
                <w:szCs w:val="16"/>
                <w:lang w:val="fr-FR" w:eastAsia="fr-FR"/>
              </w:rPr>
              <w:t>Exemple d'investissement : 10 000 EUR</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r>
      <w:tr w:rsidR="00636B16" w:rsidRPr="00636B16" w:rsidTr="00636B16">
        <w:trPr>
          <w:trHeight w:val="289"/>
        </w:trPr>
        <w:tc>
          <w:tcPr>
            <w:tcW w:w="1960" w:type="dxa"/>
            <w:tcBorders>
              <w:top w:val="nil"/>
              <w:left w:val="single" w:sz="4" w:space="0" w:color="auto"/>
              <w:bottom w:val="single" w:sz="4" w:space="0" w:color="auto"/>
              <w:right w:val="nil"/>
            </w:tcBorders>
            <w:shd w:val="clear" w:color="000000" w:fill="D9E1F2"/>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Scénarios</w:t>
            </w:r>
          </w:p>
        </w:tc>
        <w:tc>
          <w:tcPr>
            <w:tcW w:w="5548" w:type="dxa"/>
            <w:tcBorders>
              <w:top w:val="nil"/>
              <w:left w:val="nil"/>
              <w:bottom w:val="nil"/>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r>
      <w:tr w:rsidR="00636B16" w:rsidRPr="00636B16" w:rsidTr="00636B16">
        <w:trPr>
          <w:trHeight w:val="289"/>
        </w:trPr>
        <w:tc>
          <w:tcPr>
            <w:tcW w:w="1960" w:type="dxa"/>
            <w:tcBorders>
              <w:top w:val="nil"/>
              <w:left w:val="single" w:sz="4" w:space="0" w:color="auto"/>
              <w:bottom w:val="nil"/>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Minimum</w:t>
            </w:r>
          </w:p>
        </w:tc>
        <w:tc>
          <w:tcPr>
            <w:tcW w:w="7391" w:type="dxa"/>
            <w:gridSpan w:val="2"/>
            <w:tcBorders>
              <w:top w:val="single" w:sz="4" w:space="0" w:color="auto"/>
              <w:left w:val="single" w:sz="4" w:space="0" w:color="auto"/>
              <w:bottom w:val="nil"/>
              <w:right w:val="nil"/>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xml:space="preserve">Il n'existe aucun rendement minimal garanti. </w:t>
            </w:r>
          </w:p>
        </w:tc>
        <w:tc>
          <w:tcPr>
            <w:tcW w:w="1843" w:type="dxa"/>
            <w:tcBorders>
              <w:top w:val="nil"/>
              <w:left w:val="nil"/>
              <w:bottom w:val="nil"/>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r>
      <w:tr w:rsidR="00636B16" w:rsidRPr="00636B16" w:rsidTr="00636B16">
        <w:trPr>
          <w:trHeight w:val="289"/>
        </w:trPr>
        <w:tc>
          <w:tcPr>
            <w:tcW w:w="1960" w:type="dxa"/>
            <w:tcBorders>
              <w:top w:val="nil"/>
              <w:left w:val="single" w:sz="4" w:space="0" w:color="auto"/>
              <w:bottom w:val="nil"/>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7391" w:type="dxa"/>
            <w:gridSpan w:val="2"/>
            <w:tcBorders>
              <w:top w:val="nil"/>
              <w:left w:val="single" w:sz="4" w:space="0" w:color="auto"/>
              <w:bottom w:val="single" w:sz="4" w:space="0" w:color="auto"/>
              <w:right w:val="nil"/>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Vous pourriez perdre tout ou une partie de votre investissement.</w:t>
            </w:r>
          </w:p>
        </w:tc>
        <w:tc>
          <w:tcPr>
            <w:tcW w:w="1843" w:type="dxa"/>
            <w:tcBorders>
              <w:top w:val="nil"/>
              <w:left w:val="nil"/>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r>
      <w:tr w:rsidR="00636B16" w:rsidRPr="00636B16" w:rsidTr="00636B16">
        <w:trPr>
          <w:trHeight w:val="300"/>
        </w:trPr>
        <w:tc>
          <w:tcPr>
            <w:tcW w:w="1960" w:type="dxa"/>
            <w:tcBorders>
              <w:top w:val="single" w:sz="4" w:space="0" w:color="auto"/>
              <w:left w:val="single" w:sz="4" w:space="0" w:color="auto"/>
              <w:bottom w:val="nil"/>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Scénario de tensions</w:t>
            </w:r>
          </w:p>
        </w:tc>
        <w:tc>
          <w:tcPr>
            <w:tcW w:w="5548"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Ce que vous pourriez obtenir après déduction des coûts</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xml:space="preserve"> 490 EUR</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xml:space="preserve"> 270 EUR</w:t>
            </w:r>
          </w:p>
        </w:tc>
      </w:tr>
      <w:tr w:rsidR="00636B16" w:rsidRPr="00636B16" w:rsidTr="00636B16">
        <w:trPr>
          <w:trHeight w:val="30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5548" w:type="dxa"/>
            <w:tcBorders>
              <w:top w:val="nil"/>
              <w:left w:val="nil"/>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Rendement annuel moyen</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-95,08%</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-51,41%</w:t>
            </w:r>
          </w:p>
        </w:tc>
      </w:tr>
      <w:tr w:rsidR="00636B16" w:rsidRPr="00636B16" w:rsidTr="00636B16">
        <w:trPr>
          <w:trHeight w:val="300"/>
        </w:trPr>
        <w:tc>
          <w:tcPr>
            <w:tcW w:w="1960" w:type="dxa"/>
            <w:tcBorders>
              <w:top w:val="nil"/>
              <w:left w:val="single" w:sz="4" w:space="0" w:color="auto"/>
              <w:bottom w:val="nil"/>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Scénario défavorable</w:t>
            </w:r>
          </w:p>
        </w:tc>
        <w:tc>
          <w:tcPr>
            <w:tcW w:w="5548"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Ce que vous pourriez obtenir après déduction des coûts</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5 370 EUR</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4 980 EUR</w:t>
            </w:r>
          </w:p>
        </w:tc>
      </w:tr>
      <w:tr w:rsidR="00636B16" w:rsidRPr="00636B16" w:rsidTr="00636B16">
        <w:trPr>
          <w:trHeight w:val="30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5548" w:type="dxa"/>
            <w:tcBorders>
              <w:top w:val="nil"/>
              <w:left w:val="nil"/>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Rendement annuel moyen</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-46,25%</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-13,00%</w:t>
            </w:r>
          </w:p>
        </w:tc>
      </w:tr>
      <w:tr w:rsidR="00636B16" w:rsidRPr="00636B16" w:rsidTr="00636B16">
        <w:trPr>
          <w:trHeight w:val="300"/>
        </w:trPr>
        <w:tc>
          <w:tcPr>
            <w:tcW w:w="1960" w:type="dxa"/>
            <w:tcBorders>
              <w:top w:val="nil"/>
              <w:left w:val="single" w:sz="4" w:space="0" w:color="auto"/>
              <w:bottom w:val="nil"/>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Scénario intermédiaire</w:t>
            </w:r>
          </w:p>
        </w:tc>
        <w:tc>
          <w:tcPr>
            <w:tcW w:w="5548"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Ce que vous pourriez obtenir après déduction des coûts</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9 620 EUR</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9 200 EUR</w:t>
            </w:r>
          </w:p>
        </w:tc>
      </w:tr>
      <w:tr w:rsidR="00636B16" w:rsidRPr="00636B16" w:rsidTr="00636B16">
        <w:trPr>
          <w:trHeight w:val="30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5548" w:type="dxa"/>
            <w:tcBorders>
              <w:top w:val="nil"/>
              <w:left w:val="nil"/>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Rendement annuel moyen</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-3,82%</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-1,65%</w:t>
            </w:r>
          </w:p>
        </w:tc>
      </w:tr>
      <w:tr w:rsidR="00636B16" w:rsidRPr="00636B16" w:rsidTr="00636B16">
        <w:trPr>
          <w:trHeight w:val="300"/>
        </w:trPr>
        <w:tc>
          <w:tcPr>
            <w:tcW w:w="1960" w:type="dxa"/>
            <w:tcBorders>
              <w:top w:val="nil"/>
              <w:left w:val="single" w:sz="4" w:space="0" w:color="auto"/>
              <w:bottom w:val="nil"/>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Scénario favorable</w:t>
            </w:r>
          </w:p>
        </w:tc>
        <w:tc>
          <w:tcPr>
            <w:tcW w:w="5548"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Ce que vous pourriez obtenir après déduction des coûts</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16 320 EUR</w:t>
            </w:r>
          </w:p>
        </w:tc>
        <w:tc>
          <w:tcPr>
            <w:tcW w:w="1843" w:type="dxa"/>
            <w:tcBorders>
              <w:top w:val="nil"/>
              <w:left w:val="nil"/>
              <w:bottom w:val="nil"/>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11 370 EUR</w:t>
            </w:r>
          </w:p>
        </w:tc>
      </w:tr>
      <w:tr w:rsidR="00636B16" w:rsidRPr="00636B16" w:rsidTr="00636B16">
        <w:trPr>
          <w:trHeight w:val="30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5548" w:type="dxa"/>
            <w:tcBorders>
              <w:top w:val="nil"/>
              <w:left w:val="nil"/>
              <w:bottom w:val="single" w:sz="4" w:space="0" w:color="auto"/>
              <w:right w:val="single" w:sz="4" w:space="0" w:color="auto"/>
            </w:tcBorders>
            <w:shd w:val="clear" w:color="000000" w:fill="FFFFFF"/>
            <w:noWrap/>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Rendement annuel moyen</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63,18%</w:t>
            </w:r>
          </w:p>
        </w:tc>
        <w:tc>
          <w:tcPr>
            <w:tcW w:w="1843" w:type="dxa"/>
            <w:tcBorders>
              <w:top w:val="nil"/>
              <w:left w:val="nil"/>
              <w:bottom w:val="single" w:sz="4" w:space="0" w:color="auto"/>
              <w:right w:val="single" w:sz="4" w:space="0" w:color="auto"/>
            </w:tcBorders>
            <w:shd w:val="clear" w:color="000000" w:fill="FFFFFF"/>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2,61%</w:t>
            </w:r>
          </w:p>
        </w:tc>
      </w:tr>
    </w:tbl>
    <w:p w:rsidR="00647CAD" w:rsidRPr="00647CAD" w:rsidRDefault="00647CAD">
      <w:pPr>
        <w:spacing w:after="0" w:line="240" w:lineRule="auto"/>
        <w:jc w:val="both"/>
        <w:rPr>
          <w:rFonts w:ascii="Arial" w:eastAsia="Arial" w:hAnsi="Arial" w:cs="Arial"/>
          <w:noProof/>
          <w:sz w:val="4"/>
          <w:szCs w:val="4"/>
          <w:lang w:val="fr-FR" w:eastAsia="en-US"/>
        </w:rPr>
      </w:pPr>
    </w:p>
    <w:p w:rsidR="003A14CE" w:rsidRPr="003A14CE" w:rsidRDefault="003A14CE" w:rsidP="003A14CE">
      <w:pPr>
        <w:spacing w:after="0" w:line="240" w:lineRule="auto"/>
        <w:jc w:val="both"/>
        <w:rPr>
          <w:rFonts w:ascii="Arial" w:eastAsia="Arial" w:hAnsi="Arial" w:cs="Arial"/>
          <w:noProof/>
          <w:sz w:val="16"/>
          <w:szCs w:val="16"/>
          <w:lang w:val="fr-FR" w:eastAsia="en-US"/>
        </w:rPr>
      </w:pPr>
      <w:r w:rsidRPr="003A14CE">
        <w:rPr>
          <w:rFonts w:ascii="Arial" w:eastAsia="Arial" w:hAnsi="Arial" w:cs="Arial"/>
          <w:noProof/>
          <w:sz w:val="16"/>
          <w:szCs w:val="16"/>
          <w:lang w:val="fr-FR" w:eastAsia="en-US"/>
        </w:rPr>
        <w:t>Le scénario de tensions montre ce que vous pourriez obtenir dans des situations de marché extrêmes.</w:t>
      </w:r>
    </w:p>
    <w:p w:rsidR="003A14CE" w:rsidRPr="003A14CE" w:rsidRDefault="00C4122B" w:rsidP="003A14CE">
      <w:pPr>
        <w:spacing w:after="0" w:line="240" w:lineRule="auto"/>
        <w:jc w:val="both"/>
        <w:rPr>
          <w:rFonts w:ascii="Arial" w:eastAsia="Arial" w:hAnsi="Arial" w:cs="Arial"/>
          <w:noProof/>
          <w:sz w:val="16"/>
          <w:szCs w:val="16"/>
          <w:lang w:val="fr-FR" w:eastAsia="en-US"/>
        </w:rPr>
      </w:pPr>
      <w:r w:rsidRPr="00C4122B">
        <w:rPr>
          <w:rFonts w:ascii="Arial" w:eastAsia="Arial" w:hAnsi="Arial" w:cs="Arial"/>
          <w:noProof/>
          <w:sz w:val="16"/>
          <w:szCs w:val="16"/>
          <w:lang w:val="fr-FR" w:eastAsia="en-US"/>
        </w:rPr>
        <w:t>Scénario défavorable : ce type de scénario s'est produit pour un investisseme</w:t>
      </w:r>
      <w:r>
        <w:rPr>
          <w:rFonts w:ascii="Arial" w:eastAsia="Arial" w:hAnsi="Arial" w:cs="Arial"/>
          <w:noProof/>
          <w:sz w:val="16"/>
          <w:szCs w:val="16"/>
          <w:lang w:val="fr-FR" w:eastAsia="en-US"/>
        </w:rPr>
        <w:t>nt entre mars 2015 et mars 2020</w:t>
      </w:r>
      <w:r w:rsidR="003A14CE" w:rsidRPr="003A14CE">
        <w:rPr>
          <w:rFonts w:ascii="Arial" w:eastAsia="Arial" w:hAnsi="Arial" w:cs="Arial"/>
          <w:noProof/>
          <w:sz w:val="16"/>
          <w:szCs w:val="16"/>
          <w:lang w:val="fr-FR" w:eastAsia="en-US"/>
        </w:rPr>
        <w:t>.</w:t>
      </w:r>
    </w:p>
    <w:p w:rsidR="00C4122B" w:rsidRDefault="00C4122B" w:rsidP="003A14CE">
      <w:pPr>
        <w:spacing w:after="0" w:line="240" w:lineRule="auto"/>
        <w:jc w:val="both"/>
        <w:rPr>
          <w:rFonts w:ascii="Arial" w:eastAsia="Arial" w:hAnsi="Arial" w:cs="Arial"/>
          <w:noProof/>
          <w:sz w:val="16"/>
          <w:szCs w:val="16"/>
          <w:lang w:val="fr-FR" w:eastAsia="en-US"/>
        </w:rPr>
      </w:pPr>
      <w:r w:rsidRPr="00C4122B">
        <w:rPr>
          <w:rFonts w:ascii="Arial" w:eastAsia="Arial" w:hAnsi="Arial" w:cs="Arial"/>
          <w:noProof/>
          <w:sz w:val="16"/>
          <w:szCs w:val="16"/>
          <w:lang w:val="fr-FR" w:eastAsia="en-US"/>
        </w:rPr>
        <w:t>Scénario intermédiaire : ce type de scénario s'est produit pour un investissement entre août 2018 et septembre 2023.</w:t>
      </w:r>
    </w:p>
    <w:p w:rsidR="00C4122B" w:rsidRDefault="00C4122B" w:rsidP="003A14CE">
      <w:pPr>
        <w:spacing w:after="0" w:line="240" w:lineRule="auto"/>
        <w:jc w:val="both"/>
        <w:rPr>
          <w:rFonts w:ascii="Arial" w:eastAsia="Arial" w:hAnsi="Arial" w:cs="Arial"/>
          <w:noProof/>
          <w:sz w:val="16"/>
          <w:szCs w:val="16"/>
          <w:lang w:val="fr-FR" w:eastAsia="en-US"/>
        </w:rPr>
      </w:pPr>
      <w:r w:rsidRPr="00C4122B">
        <w:rPr>
          <w:rFonts w:ascii="Arial" w:eastAsia="Arial" w:hAnsi="Arial" w:cs="Arial"/>
          <w:noProof/>
          <w:sz w:val="16"/>
          <w:szCs w:val="16"/>
          <w:lang w:val="fr-FR" w:eastAsia="en-US"/>
        </w:rPr>
        <w:t>Scénario favorable : ce type de scénario s'est produit pour un investissement entre juin 2016 et juin 2021.</w:t>
      </w:r>
    </w:p>
    <w:p w:rsidR="00C4122B" w:rsidRDefault="00C4122B">
      <w:pPr>
        <w:spacing w:after="0" w:line="240" w:lineRule="auto"/>
        <w:jc w:val="both"/>
        <w:rPr>
          <w:rFonts w:ascii="Arial" w:eastAsia="Arial" w:hAnsi="Arial" w:cs="Arial"/>
          <w:noProof/>
          <w:sz w:val="16"/>
          <w:szCs w:val="16"/>
          <w:lang w:val="fr-FR" w:eastAsia="en-US"/>
        </w:rPr>
      </w:pPr>
      <w:r w:rsidRPr="00C4122B">
        <w:rPr>
          <w:rFonts w:ascii="Arial" w:eastAsia="Arial" w:hAnsi="Arial" w:cs="Arial"/>
          <w:noProof/>
          <w:sz w:val="16"/>
          <w:szCs w:val="16"/>
          <w:lang w:val="fr-FR" w:eastAsia="en-US"/>
        </w:rPr>
        <w:t>Les scénarios de performance ont été calculés d'après l'historique de performance du fonds.</w:t>
      </w:r>
    </w:p>
    <w:p w:rsidR="00C4122B" w:rsidRPr="00636B16" w:rsidRDefault="00C4122B">
      <w:pPr>
        <w:spacing w:after="0" w:line="240" w:lineRule="auto"/>
        <w:jc w:val="both"/>
        <w:rPr>
          <w:rFonts w:ascii="Arial" w:eastAsia="Arial" w:hAnsi="Arial" w:cs="Arial"/>
          <w:noProof/>
          <w:sz w:val="8"/>
          <w:szCs w:val="8"/>
          <w:lang w:val="fr-FR" w:eastAsia="en-US"/>
        </w:rPr>
      </w:pPr>
    </w:p>
    <w:p w:rsidR="00CA74EA" w:rsidRPr="00647CAD" w:rsidRDefault="00265E1F">
      <w:pPr>
        <w:spacing w:after="0" w:line="240" w:lineRule="auto"/>
        <w:jc w:val="both"/>
        <w:rPr>
          <w:rFonts w:ascii="Arial" w:eastAsia="Arial" w:hAnsi="Arial" w:cs="Arial"/>
          <w:sz w:val="4"/>
          <w:szCs w:val="4"/>
          <w:lang w:val="fr-FR" w:eastAsia="en-US"/>
        </w:rPr>
      </w:pPr>
      <w:r>
        <w:rPr>
          <w:rFonts w:ascii="Arial" w:eastAsia="Arial" w:hAnsi="Arial" w:cs="Arial"/>
          <w:sz w:val="16"/>
          <w:szCs w:val="16"/>
          <w:lang w:val="fr-FR" w:eastAsia="en-US"/>
        </w:rPr>
        <w:t xml:space="preserve"> </w:t>
      </w: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 xml:space="preserve">QUE SE PASSE-T-IL SI </w:t>
      </w:r>
      <w:r w:rsidR="00647CAD">
        <w:rPr>
          <w:rFonts w:ascii="Arial" w:eastAsia="Arial" w:hAnsi="Arial" w:cs="Arial"/>
          <w:b/>
          <w:color w:val="FFFFFF"/>
          <w:sz w:val="16"/>
          <w:szCs w:val="16"/>
          <w:lang w:val="fr-FR" w:eastAsia="en-US"/>
        </w:rPr>
        <w:t>GSD GESTION</w:t>
      </w:r>
      <w:r>
        <w:rPr>
          <w:rFonts w:ascii="Arial" w:eastAsia="Arial" w:hAnsi="Arial" w:cs="Arial"/>
          <w:b/>
          <w:color w:val="FFFFFF"/>
          <w:sz w:val="16"/>
          <w:szCs w:val="16"/>
          <w:lang w:val="fr-FR" w:eastAsia="en-US"/>
        </w:rPr>
        <w:t xml:space="preserve"> N’EST PAS EN MESURE D’EFFECTUER LES VERSEMENTS ? </w:t>
      </w:r>
    </w:p>
    <w:p w:rsidR="00647CAD" w:rsidRPr="00647CAD" w:rsidRDefault="00647CAD">
      <w:pPr>
        <w:spacing w:after="0" w:line="240" w:lineRule="auto"/>
        <w:jc w:val="both"/>
        <w:rPr>
          <w:rFonts w:ascii="Arial" w:eastAsia="Arial" w:hAnsi="Arial" w:cs="Arial"/>
          <w:noProof/>
          <w:sz w:val="4"/>
          <w:szCs w:val="4"/>
          <w:lang w:val="fr-FR" w:eastAsia="en-US"/>
        </w:rPr>
      </w:pPr>
    </w:p>
    <w:p w:rsidR="00647CAD" w:rsidRPr="000A5537" w:rsidRDefault="00265E1F">
      <w:p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Le Fonds ne dispose d'aucun système de garantie ou d'indemnisation des investisseurs. Ainsi, en cas de défaillance de la Société de Gestion ou du Fonds lui-même, vous êtes susceptible de perdre la totalité de votre investissement. Le remboursement de votre investissement, la performance et le rendement ne sont en aucun cas garantis. Votre perte ne sera pas couverte par un système d'indemnisation ou un régime de garantie.</w:t>
      </w:r>
      <w:r w:rsidR="00FE0A1C">
        <w:rPr>
          <w:rFonts w:ascii="Arial" w:eastAsia="Arial" w:hAnsi="Arial" w:cs="Arial"/>
          <w:noProof/>
          <w:sz w:val="16"/>
          <w:szCs w:val="16"/>
          <w:lang w:val="fr-FR" w:eastAsia="en-US"/>
        </w:rPr>
        <w:t xml:space="preserve"> </w:t>
      </w:r>
      <w:r w:rsidR="00455CBB" w:rsidRPr="000A5537">
        <w:rPr>
          <w:rFonts w:ascii="Arial" w:eastAsia="Arial" w:hAnsi="Arial" w:cs="Arial"/>
          <w:noProof/>
          <w:sz w:val="16"/>
          <w:szCs w:val="16"/>
          <w:lang w:val="fr-FR" w:eastAsia="en-US"/>
        </w:rPr>
        <w:t>Les actifs sous-jacents du produit sont détenus séparément sur des comptes ouverts par le Dépositaire.</w:t>
      </w:r>
    </w:p>
    <w:p w:rsidR="00BD09A4" w:rsidRDefault="00BD09A4">
      <w:pPr>
        <w:spacing w:after="0" w:line="240" w:lineRule="auto"/>
        <w:jc w:val="both"/>
        <w:rPr>
          <w:rFonts w:ascii="Arial" w:eastAsia="Arial" w:hAnsi="Arial" w:cs="Arial"/>
          <w:sz w:val="4"/>
          <w:szCs w:val="4"/>
          <w:lang w:val="fr-FR" w:eastAsia="en-US"/>
        </w:rPr>
      </w:pPr>
    </w:p>
    <w:p w:rsidR="00BD09A4" w:rsidRDefault="00BD09A4">
      <w:pPr>
        <w:spacing w:after="0" w:line="240" w:lineRule="auto"/>
        <w:jc w:val="both"/>
        <w:rPr>
          <w:rFonts w:ascii="Arial" w:eastAsia="Arial" w:hAnsi="Arial" w:cs="Arial"/>
          <w:sz w:val="4"/>
          <w:szCs w:val="4"/>
          <w:lang w:val="fr-FR" w:eastAsia="en-US"/>
        </w:rPr>
      </w:pPr>
    </w:p>
    <w:p w:rsidR="00BD09A4" w:rsidRDefault="00BD09A4">
      <w:pPr>
        <w:spacing w:after="0" w:line="240" w:lineRule="auto"/>
        <w:jc w:val="both"/>
        <w:rPr>
          <w:rFonts w:ascii="Arial" w:eastAsia="Arial" w:hAnsi="Arial" w:cs="Arial"/>
          <w:sz w:val="4"/>
          <w:szCs w:val="4"/>
          <w:lang w:val="fr-FR" w:eastAsia="en-US"/>
        </w:rPr>
      </w:pP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QUE VA ME COUTER CET INVESTISSEMENT ? </w:t>
      </w:r>
    </w:p>
    <w:p w:rsidR="00647CAD" w:rsidRPr="00647CAD" w:rsidRDefault="00647CAD">
      <w:pPr>
        <w:spacing w:after="0" w:line="240" w:lineRule="auto"/>
        <w:jc w:val="both"/>
        <w:rPr>
          <w:rFonts w:ascii="Arial" w:eastAsia="Arial" w:hAnsi="Arial" w:cs="Arial"/>
          <w:noProof/>
          <w:sz w:val="4"/>
          <w:szCs w:val="4"/>
          <w:lang w:val="fr-FR" w:eastAsia="en-US"/>
        </w:rPr>
      </w:pPr>
    </w:p>
    <w:p w:rsidR="00CA74EA" w:rsidRDefault="00265E1F">
      <w:p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Il se peut que la personne qui vous vend ce produit ou qui vous fournit des conseils à son sujet vous demande de payer des coûts supplémentaires. Si c'est le cas, cette personne vous informera au sujet de ces coûts et vous montrera l'incidence de ces coûts sur votre investissement.</w:t>
      </w:r>
    </w:p>
    <w:p w:rsidR="00636B16" w:rsidRPr="00636B16" w:rsidRDefault="00636B16">
      <w:pPr>
        <w:spacing w:after="0" w:line="240" w:lineRule="auto"/>
        <w:jc w:val="both"/>
        <w:rPr>
          <w:rFonts w:ascii="Arial" w:eastAsia="Arial" w:hAnsi="Arial" w:cs="Arial"/>
          <w:b/>
          <w:sz w:val="4"/>
          <w:szCs w:val="4"/>
          <w:lang w:val="fr-FR" w:eastAsia="en-US"/>
        </w:rPr>
      </w:pPr>
    </w:p>
    <w:p w:rsidR="00CA74EA" w:rsidRDefault="00265E1F">
      <w:pPr>
        <w:spacing w:after="0" w:line="240" w:lineRule="auto"/>
        <w:jc w:val="both"/>
        <w:rPr>
          <w:rFonts w:ascii="Arial" w:eastAsia="Arial" w:hAnsi="Arial" w:cs="Arial"/>
          <w:b/>
          <w:sz w:val="16"/>
          <w:szCs w:val="16"/>
          <w:lang w:val="fr-FR" w:eastAsia="en-US"/>
        </w:rPr>
      </w:pPr>
      <w:r>
        <w:rPr>
          <w:rFonts w:ascii="Arial" w:eastAsia="Arial" w:hAnsi="Arial" w:cs="Arial"/>
          <w:b/>
          <w:sz w:val="16"/>
          <w:szCs w:val="16"/>
          <w:lang w:val="fr-FR" w:eastAsia="en-US"/>
        </w:rPr>
        <w:t>COUTS AU FIL DU TEMPS</w:t>
      </w: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sz w:val="16"/>
          <w:szCs w:val="16"/>
          <w:lang w:val="fr-FR" w:eastAsia="en-US"/>
        </w:rPr>
        <w:t>Les tableaux présentent les montants prélevés sur votre investissement afin de couvrir les différents types de coûts. Ces montants dépendent du montant que vous investissez, du temps pendant lequel vous détenez le produit et du rendement du produit Les montants indiqués ici sont des illustrations basées sur un exemple de montant d’investissement et différentes périodes d’investissement possibles.</w:t>
      </w:r>
    </w:p>
    <w:p w:rsidR="00E938C0" w:rsidRPr="00E938C0" w:rsidRDefault="00E938C0">
      <w:pPr>
        <w:spacing w:after="0" w:line="240" w:lineRule="auto"/>
        <w:jc w:val="both"/>
        <w:rPr>
          <w:rFonts w:ascii="Arial" w:eastAsia="Arial" w:hAnsi="Arial" w:cs="Arial"/>
          <w:sz w:val="4"/>
          <w:szCs w:val="4"/>
          <w:lang w:val="fr-FR" w:eastAsia="en-US"/>
        </w:rPr>
      </w:pPr>
    </w:p>
    <w:p w:rsidR="00B440F8" w:rsidRDefault="00B440F8">
      <w:pPr>
        <w:spacing w:after="0" w:line="240" w:lineRule="auto"/>
        <w:jc w:val="both"/>
        <w:rPr>
          <w:rFonts w:ascii="Arial" w:eastAsia="Arial" w:hAnsi="Arial" w:cs="Arial"/>
          <w:noProof/>
          <w:sz w:val="16"/>
          <w:szCs w:val="16"/>
          <w:lang w:val="fr-FR" w:eastAsia="en-US"/>
        </w:rPr>
      </w:pP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lastRenderedPageBreak/>
        <w:t>Nous avons supposé :</w:t>
      </w:r>
    </w:p>
    <w:p w:rsidR="00647CAD" w:rsidRDefault="00647CAD" w:rsidP="00647CAD">
      <w:pPr>
        <w:pStyle w:val="Paragraphedeliste"/>
        <w:numPr>
          <w:ilvl w:val="0"/>
          <w:numId w:val="1"/>
        </w:num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q</w:t>
      </w:r>
      <w:r w:rsidR="00265E1F" w:rsidRPr="00647CAD">
        <w:rPr>
          <w:rFonts w:ascii="Arial" w:eastAsia="Arial" w:hAnsi="Arial" w:cs="Arial"/>
          <w:noProof/>
          <w:sz w:val="16"/>
          <w:szCs w:val="16"/>
          <w:lang w:val="fr-FR" w:eastAsia="en-US"/>
        </w:rPr>
        <w:t xml:space="preserve">u'au cours de la première année vous récupéreriez le montant que vous avez investi (rendement annuel de 0%). </w:t>
      </w:r>
    </w:p>
    <w:p w:rsidR="00CA74EA" w:rsidRPr="00647CAD" w:rsidRDefault="00647CAD" w:rsidP="00647CAD">
      <w:pPr>
        <w:pStyle w:val="Paragraphedeliste"/>
        <w:numPr>
          <w:ilvl w:val="0"/>
          <w:numId w:val="1"/>
        </w:num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q</w:t>
      </w:r>
      <w:r w:rsidR="00265E1F" w:rsidRPr="00647CAD">
        <w:rPr>
          <w:rFonts w:ascii="Arial" w:eastAsia="Arial" w:hAnsi="Arial" w:cs="Arial"/>
          <w:noProof/>
          <w:sz w:val="16"/>
          <w:szCs w:val="16"/>
          <w:lang w:val="fr-FR" w:eastAsia="en-US"/>
        </w:rPr>
        <w:t>ue pour les autres périodes de détention, le produit évolue de la manière indiquée dans le scénario intermédiaire.</w:t>
      </w:r>
    </w:p>
    <w:p w:rsidR="00131C95" w:rsidRDefault="00265E1F" w:rsidP="00131C95">
      <w:pPr>
        <w:pStyle w:val="Paragraphedeliste"/>
        <w:numPr>
          <w:ilvl w:val="0"/>
          <w:numId w:val="1"/>
        </w:numPr>
        <w:spacing w:after="0" w:line="240" w:lineRule="auto"/>
        <w:jc w:val="both"/>
        <w:rPr>
          <w:rFonts w:ascii="Arial" w:eastAsia="Arial" w:hAnsi="Arial" w:cs="Arial"/>
          <w:b/>
          <w:sz w:val="16"/>
          <w:szCs w:val="16"/>
          <w:lang w:val="fr-FR" w:eastAsia="en-US"/>
        </w:rPr>
      </w:pPr>
      <w:r w:rsidRPr="00647CAD">
        <w:rPr>
          <w:rFonts w:ascii="Arial" w:eastAsia="Arial" w:hAnsi="Arial" w:cs="Arial"/>
          <w:b/>
          <w:noProof/>
          <w:sz w:val="16"/>
          <w:szCs w:val="16"/>
          <w:lang w:val="fr-FR" w:eastAsia="en-US"/>
        </w:rPr>
        <w:t>10 000 EUR sont investis.</w:t>
      </w:r>
    </w:p>
    <w:p w:rsidR="003A14CE" w:rsidRPr="00636B16" w:rsidRDefault="003A14CE">
      <w:pPr>
        <w:spacing w:after="0" w:line="240" w:lineRule="auto"/>
        <w:jc w:val="both"/>
        <w:rPr>
          <w:rFonts w:ascii="Arial" w:eastAsia="Arial" w:hAnsi="Arial" w:cs="Arial"/>
          <w:i/>
          <w:noProof/>
          <w:sz w:val="8"/>
          <w:szCs w:val="8"/>
          <w:lang w:val="fr-FR" w:eastAsia="en-US"/>
        </w:rPr>
      </w:pPr>
    </w:p>
    <w:tbl>
      <w:tblPr>
        <w:tblW w:w="8359" w:type="dxa"/>
        <w:tblCellMar>
          <w:left w:w="70" w:type="dxa"/>
          <w:right w:w="70" w:type="dxa"/>
        </w:tblCellMar>
        <w:tblLook w:val="04A0" w:firstRow="1" w:lastRow="0" w:firstColumn="1" w:lastColumn="0" w:noHBand="0" w:noVBand="1"/>
      </w:tblPr>
      <w:tblGrid>
        <w:gridCol w:w="3040"/>
        <w:gridCol w:w="2484"/>
        <w:gridCol w:w="2835"/>
      </w:tblGrid>
      <w:tr w:rsidR="00636B16" w:rsidRPr="00636B16" w:rsidTr="00636B16">
        <w:trPr>
          <w:trHeight w:val="300"/>
        </w:trPr>
        <w:tc>
          <w:tcPr>
            <w:tcW w:w="3040"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rsidR="00636B16" w:rsidRPr="00636B16" w:rsidRDefault="00636B16" w:rsidP="00636B16">
            <w:pPr>
              <w:spacing w:after="0" w:line="240" w:lineRule="auto"/>
              <w:jc w:val="center"/>
              <w:rPr>
                <w:rFonts w:ascii="Arial" w:hAnsi="Arial" w:cs="Arial"/>
                <w:b/>
                <w:bCs/>
                <w:color w:val="FFFFFF"/>
                <w:sz w:val="16"/>
                <w:szCs w:val="16"/>
                <w:lang w:val="fr-FR" w:eastAsia="fr-FR"/>
              </w:rPr>
            </w:pPr>
            <w:r w:rsidRPr="00636B16">
              <w:rPr>
                <w:rFonts w:ascii="Arial" w:hAnsi="Arial" w:cs="Arial"/>
                <w:b/>
                <w:bCs/>
                <w:color w:val="FFFFFF"/>
                <w:sz w:val="16"/>
                <w:szCs w:val="16"/>
                <w:lang w:val="fr-FR" w:eastAsia="fr-FR"/>
              </w:rPr>
              <w:t>Coûts au fil du temps</w:t>
            </w:r>
          </w:p>
        </w:tc>
        <w:tc>
          <w:tcPr>
            <w:tcW w:w="2484"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rsidR="00636B16" w:rsidRPr="00636B16" w:rsidRDefault="00636B16" w:rsidP="00636B16">
            <w:pPr>
              <w:spacing w:after="0" w:line="240" w:lineRule="auto"/>
              <w:jc w:val="center"/>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Si vous sortez après 1 an</w:t>
            </w:r>
          </w:p>
        </w:tc>
        <w:tc>
          <w:tcPr>
            <w:tcW w:w="2835"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rsidR="00636B16" w:rsidRPr="00636B16" w:rsidRDefault="00636B16" w:rsidP="00636B16">
            <w:pPr>
              <w:spacing w:after="0" w:line="240" w:lineRule="auto"/>
              <w:jc w:val="center"/>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Si vous sortez après 5 ans</w:t>
            </w:r>
          </w:p>
        </w:tc>
      </w:tr>
      <w:tr w:rsidR="00636B16" w:rsidRPr="00636B16" w:rsidTr="00636B16">
        <w:trPr>
          <w:trHeight w:val="408"/>
        </w:trPr>
        <w:tc>
          <w:tcPr>
            <w:tcW w:w="3040"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FFFFFF"/>
                <w:sz w:val="16"/>
                <w:szCs w:val="16"/>
                <w:lang w:val="fr-FR" w:eastAsia="fr-FR"/>
              </w:rPr>
            </w:pPr>
          </w:p>
        </w:tc>
        <w:tc>
          <w:tcPr>
            <w:tcW w:w="2484"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r>
      <w:tr w:rsidR="00636B16" w:rsidRPr="00636B16" w:rsidTr="00636B16">
        <w:trPr>
          <w:trHeight w:val="289"/>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Coûts totaux</w:t>
            </w:r>
          </w:p>
        </w:tc>
        <w:tc>
          <w:tcPr>
            <w:tcW w:w="2484" w:type="dxa"/>
            <w:tcBorders>
              <w:top w:val="nil"/>
              <w:left w:val="nil"/>
              <w:bottom w:val="single" w:sz="4" w:space="0" w:color="auto"/>
              <w:right w:val="single" w:sz="4" w:space="0" w:color="auto"/>
            </w:tcBorders>
            <w:shd w:val="clear" w:color="auto" w:fill="auto"/>
            <w:noWrap/>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 xml:space="preserve"> 743 EUR</w:t>
            </w:r>
          </w:p>
        </w:tc>
        <w:tc>
          <w:tcPr>
            <w:tcW w:w="2835" w:type="dxa"/>
            <w:tcBorders>
              <w:top w:val="nil"/>
              <w:left w:val="nil"/>
              <w:bottom w:val="single" w:sz="4" w:space="0" w:color="auto"/>
              <w:right w:val="single" w:sz="4" w:space="0" w:color="auto"/>
            </w:tcBorders>
            <w:shd w:val="clear" w:color="auto" w:fill="auto"/>
            <w:noWrap/>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2 163 EUR</w:t>
            </w:r>
          </w:p>
        </w:tc>
      </w:tr>
      <w:tr w:rsidR="00636B16" w:rsidRPr="00636B16" w:rsidTr="00636B16">
        <w:trPr>
          <w:trHeight w:val="289"/>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Incidence des coûts annuels (*)</w:t>
            </w:r>
          </w:p>
        </w:tc>
        <w:tc>
          <w:tcPr>
            <w:tcW w:w="2484" w:type="dxa"/>
            <w:tcBorders>
              <w:top w:val="nil"/>
              <w:left w:val="nil"/>
              <w:bottom w:val="single" w:sz="4" w:space="0" w:color="auto"/>
              <w:right w:val="single" w:sz="4" w:space="0" w:color="auto"/>
            </w:tcBorders>
            <w:shd w:val="clear" w:color="auto" w:fill="auto"/>
            <w:noWrap/>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7,6%</w:t>
            </w:r>
          </w:p>
        </w:tc>
        <w:tc>
          <w:tcPr>
            <w:tcW w:w="2835" w:type="dxa"/>
            <w:tcBorders>
              <w:top w:val="nil"/>
              <w:left w:val="nil"/>
              <w:bottom w:val="single" w:sz="4" w:space="0" w:color="auto"/>
              <w:right w:val="single" w:sz="4" w:space="0" w:color="auto"/>
            </w:tcBorders>
            <w:shd w:val="clear" w:color="auto" w:fill="auto"/>
            <w:noWrap/>
            <w:vAlign w:val="center"/>
            <w:hideMark/>
          </w:tcPr>
          <w:p w:rsidR="00636B16" w:rsidRPr="00636B16" w:rsidRDefault="00636B16" w:rsidP="00636B16">
            <w:pPr>
              <w:spacing w:after="0" w:line="240" w:lineRule="auto"/>
              <w:jc w:val="right"/>
              <w:rPr>
                <w:rFonts w:ascii="Arial" w:hAnsi="Arial" w:cs="Arial"/>
                <w:color w:val="000000"/>
                <w:sz w:val="16"/>
                <w:szCs w:val="16"/>
                <w:lang w:val="fr-FR" w:eastAsia="fr-FR"/>
              </w:rPr>
            </w:pPr>
            <w:r w:rsidRPr="00636B16">
              <w:rPr>
                <w:rFonts w:ascii="Arial" w:hAnsi="Arial" w:cs="Arial"/>
                <w:color w:val="000000"/>
                <w:sz w:val="16"/>
                <w:szCs w:val="16"/>
                <w:lang w:val="fr-FR" w:eastAsia="fr-FR"/>
              </w:rPr>
              <w:t>4,3% chaque année</w:t>
            </w:r>
          </w:p>
        </w:tc>
      </w:tr>
    </w:tbl>
    <w:p w:rsidR="000D3BD3" w:rsidRPr="00636B16" w:rsidRDefault="000D3BD3">
      <w:pPr>
        <w:spacing w:after="0" w:line="240" w:lineRule="auto"/>
        <w:jc w:val="both"/>
        <w:rPr>
          <w:rFonts w:ascii="Arial" w:eastAsia="Arial" w:hAnsi="Arial" w:cs="Arial"/>
          <w:i/>
          <w:noProof/>
          <w:sz w:val="8"/>
          <w:szCs w:val="8"/>
          <w:lang w:val="fr-FR" w:eastAsia="en-US"/>
        </w:rPr>
      </w:pPr>
    </w:p>
    <w:p w:rsidR="00636B16" w:rsidRDefault="00265E1F">
      <w:pPr>
        <w:spacing w:after="0" w:line="240" w:lineRule="auto"/>
        <w:jc w:val="both"/>
        <w:rPr>
          <w:rFonts w:ascii="Arial" w:eastAsia="Arial" w:hAnsi="Arial" w:cs="Arial"/>
          <w:i/>
          <w:noProof/>
          <w:sz w:val="16"/>
          <w:szCs w:val="16"/>
          <w:lang w:val="fr-FR" w:eastAsia="en-US"/>
        </w:rPr>
      </w:pPr>
      <w:r w:rsidRPr="00647CAD">
        <w:rPr>
          <w:rFonts w:ascii="Arial" w:eastAsia="Arial" w:hAnsi="Arial" w:cs="Arial"/>
          <w:i/>
          <w:noProof/>
          <w:sz w:val="16"/>
          <w:szCs w:val="16"/>
          <w:lang w:val="fr-FR" w:eastAsia="en-US"/>
        </w:rPr>
        <w:t xml:space="preserve">(*) </w:t>
      </w:r>
      <w:r w:rsidR="00C4122B" w:rsidRPr="00C4122B">
        <w:rPr>
          <w:rFonts w:ascii="Arial" w:eastAsia="Arial" w:hAnsi="Arial" w:cs="Arial"/>
          <w:i/>
          <w:noProof/>
          <w:sz w:val="16"/>
          <w:szCs w:val="16"/>
          <w:lang w:val="fr-FR" w:eastAsia="en-US"/>
        </w:rPr>
        <w:t xml:space="preserve">Elle montre dans quelle mesure les coûts réduisent annuellement votre rendement au cours de la période de détention. Par exemple, elle montre que si vous sortez à la fin de la période de détention recommandée, il est prévu que votre rendement moyen par an soit de 2,7% avant déduction des coûts et de </w:t>
      </w:r>
    </w:p>
    <w:p w:rsidR="00CA74EA" w:rsidRPr="00647CAD" w:rsidRDefault="00C4122B">
      <w:pPr>
        <w:spacing w:after="0" w:line="240" w:lineRule="auto"/>
        <w:jc w:val="both"/>
        <w:rPr>
          <w:rFonts w:ascii="Arial" w:eastAsia="Arial" w:hAnsi="Arial" w:cs="Arial"/>
          <w:i/>
          <w:sz w:val="16"/>
          <w:szCs w:val="16"/>
          <w:lang w:val="fr-FR" w:eastAsia="en-US"/>
        </w:rPr>
      </w:pPr>
      <w:r w:rsidRPr="00C4122B">
        <w:rPr>
          <w:rFonts w:ascii="Arial" w:eastAsia="Arial" w:hAnsi="Arial" w:cs="Arial"/>
          <w:i/>
          <w:noProof/>
          <w:sz w:val="16"/>
          <w:szCs w:val="16"/>
          <w:lang w:val="fr-FR" w:eastAsia="en-US"/>
        </w:rPr>
        <w:t>-1,6% après cette déduction</w:t>
      </w:r>
      <w:r w:rsidR="00265E1F" w:rsidRPr="00647CAD">
        <w:rPr>
          <w:rFonts w:ascii="Arial" w:eastAsia="Arial" w:hAnsi="Arial" w:cs="Arial"/>
          <w:i/>
          <w:noProof/>
          <w:sz w:val="16"/>
          <w:szCs w:val="16"/>
          <w:lang w:val="fr-FR" w:eastAsia="en-US"/>
        </w:rPr>
        <w:t>.</w:t>
      </w:r>
    </w:p>
    <w:p w:rsidR="00CA74EA" w:rsidRDefault="00265E1F">
      <w:pPr>
        <w:spacing w:after="0" w:line="240" w:lineRule="auto"/>
        <w:jc w:val="both"/>
        <w:rPr>
          <w:rFonts w:ascii="Arial" w:eastAsia="Arial" w:hAnsi="Arial" w:cs="Arial"/>
          <w:noProof/>
          <w:sz w:val="16"/>
          <w:szCs w:val="16"/>
          <w:lang w:val="fr-FR" w:eastAsia="en-US"/>
        </w:rPr>
      </w:pPr>
      <w:r>
        <w:rPr>
          <w:rFonts w:ascii="Arial" w:eastAsia="Arial" w:hAnsi="Arial" w:cs="Arial"/>
          <w:noProof/>
          <w:sz w:val="16"/>
          <w:szCs w:val="16"/>
          <w:lang w:val="fr-FR" w:eastAsia="en-US"/>
        </w:rPr>
        <w:t>Il se peut que nous partagions les coûts avec la personne qui vous vend le produit afin de couvrir les services qu'elle vous fournit. Cette personne vous informera du montant.</w:t>
      </w:r>
    </w:p>
    <w:p w:rsidR="000D3BD3" w:rsidRPr="00E938C0" w:rsidRDefault="000D3BD3">
      <w:pPr>
        <w:spacing w:after="0" w:line="240" w:lineRule="auto"/>
        <w:jc w:val="both"/>
        <w:rPr>
          <w:rFonts w:ascii="Arial" w:eastAsia="Arial" w:hAnsi="Arial" w:cs="Arial"/>
          <w:noProof/>
          <w:sz w:val="10"/>
          <w:szCs w:val="10"/>
          <w:lang w:val="fr-FR" w:eastAsia="en-US"/>
        </w:rPr>
      </w:pPr>
    </w:p>
    <w:p w:rsidR="00647CAD" w:rsidRPr="00647CAD" w:rsidRDefault="00647CAD">
      <w:pPr>
        <w:spacing w:after="0" w:line="240" w:lineRule="auto"/>
        <w:jc w:val="both"/>
        <w:rPr>
          <w:rFonts w:ascii="Arial" w:eastAsia="Arial" w:hAnsi="Arial" w:cs="Arial"/>
          <w:sz w:val="4"/>
          <w:szCs w:val="4"/>
          <w:lang w:val="fr-FR" w:eastAsia="en-US"/>
        </w:rPr>
      </w:pPr>
    </w:p>
    <w:p w:rsidR="00B440F8" w:rsidRDefault="00265E1F">
      <w:pPr>
        <w:spacing w:after="0" w:line="240" w:lineRule="auto"/>
        <w:jc w:val="both"/>
        <w:rPr>
          <w:rFonts w:ascii="Arial" w:eastAsia="Arial" w:hAnsi="Arial" w:cs="Arial"/>
          <w:b/>
          <w:sz w:val="16"/>
          <w:szCs w:val="16"/>
          <w:lang w:val="fr-FR" w:eastAsia="en-US"/>
        </w:rPr>
      </w:pPr>
      <w:r>
        <w:rPr>
          <w:rFonts w:ascii="Arial" w:eastAsia="Arial" w:hAnsi="Arial" w:cs="Arial"/>
          <w:b/>
          <w:sz w:val="16"/>
          <w:szCs w:val="16"/>
          <w:lang w:val="fr-FR" w:eastAsia="en-US"/>
        </w:rPr>
        <w:t>COMPOSITION DES COUTS</w:t>
      </w:r>
    </w:p>
    <w:p w:rsidR="00647CAD" w:rsidRPr="00647CAD" w:rsidRDefault="00647CAD">
      <w:pPr>
        <w:spacing w:after="0" w:line="240" w:lineRule="auto"/>
        <w:jc w:val="both"/>
        <w:rPr>
          <w:rFonts w:ascii="Arial" w:eastAsia="Arial" w:hAnsi="Arial" w:cs="Arial"/>
          <w:b/>
          <w:sz w:val="4"/>
          <w:szCs w:val="4"/>
          <w:lang w:val="fr-FR" w:eastAsia="en-US"/>
        </w:rPr>
      </w:pPr>
    </w:p>
    <w:tbl>
      <w:tblPr>
        <w:tblW w:w="11194" w:type="dxa"/>
        <w:tblCellMar>
          <w:left w:w="70" w:type="dxa"/>
          <w:right w:w="70" w:type="dxa"/>
        </w:tblCellMar>
        <w:tblLook w:val="04A0" w:firstRow="1" w:lastRow="0" w:firstColumn="1" w:lastColumn="0" w:noHBand="0" w:noVBand="1"/>
      </w:tblPr>
      <w:tblGrid>
        <w:gridCol w:w="2257"/>
        <w:gridCol w:w="1662"/>
        <w:gridCol w:w="1662"/>
        <w:gridCol w:w="1662"/>
        <w:gridCol w:w="1662"/>
        <w:gridCol w:w="2289"/>
      </w:tblGrid>
      <w:tr w:rsidR="00636B16" w:rsidRPr="00636B16" w:rsidTr="00636B16">
        <w:trPr>
          <w:trHeight w:val="300"/>
        </w:trPr>
        <w:tc>
          <w:tcPr>
            <w:tcW w:w="2257" w:type="dxa"/>
            <w:vMerge w:val="restart"/>
            <w:tcBorders>
              <w:top w:val="single" w:sz="4" w:space="0" w:color="auto"/>
              <w:left w:val="single" w:sz="4" w:space="0" w:color="auto"/>
              <w:bottom w:val="single" w:sz="4" w:space="0" w:color="000000"/>
              <w:right w:val="nil"/>
            </w:tcBorders>
            <w:shd w:val="clear" w:color="000000" w:fill="305496"/>
            <w:vAlign w:val="center"/>
            <w:hideMark/>
          </w:tcPr>
          <w:p w:rsidR="00636B16" w:rsidRPr="00636B16" w:rsidRDefault="00636B16" w:rsidP="00636B16">
            <w:pPr>
              <w:spacing w:after="0" w:line="240" w:lineRule="auto"/>
              <w:jc w:val="center"/>
              <w:rPr>
                <w:rFonts w:ascii="Arial" w:hAnsi="Arial" w:cs="Arial"/>
                <w:b/>
                <w:bCs/>
                <w:color w:val="FFFFFF"/>
                <w:sz w:val="16"/>
                <w:szCs w:val="16"/>
                <w:lang w:val="fr-FR" w:eastAsia="fr-FR"/>
              </w:rPr>
            </w:pPr>
            <w:r w:rsidRPr="00636B16">
              <w:rPr>
                <w:rFonts w:ascii="Arial" w:hAnsi="Arial" w:cs="Arial"/>
                <w:b/>
                <w:bCs/>
                <w:color w:val="FFFFFF"/>
                <w:sz w:val="16"/>
                <w:szCs w:val="16"/>
                <w:lang w:val="fr-FR" w:eastAsia="fr-FR"/>
              </w:rPr>
              <w:t> </w:t>
            </w:r>
          </w:p>
        </w:tc>
        <w:tc>
          <w:tcPr>
            <w:tcW w:w="6648" w:type="dxa"/>
            <w:gridSpan w:val="4"/>
            <w:vMerge w:val="restart"/>
            <w:tcBorders>
              <w:top w:val="single" w:sz="4" w:space="0" w:color="auto"/>
              <w:left w:val="nil"/>
              <w:bottom w:val="single" w:sz="4" w:space="0" w:color="000000"/>
              <w:right w:val="single" w:sz="4" w:space="0" w:color="000000"/>
            </w:tcBorders>
            <w:shd w:val="clear" w:color="000000" w:fill="305496"/>
            <w:noWrap/>
            <w:vAlign w:val="center"/>
            <w:hideMark/>
          </w:tcPr>
          <w:p w:rsidR="00636B16" w:rsidRPr="00636B16" w:rsidRDefault="00636B16" w:rsidP="00636B16">
            <w:pPr>
              <w:spacing w:after="0" w:line="240" w:lineRule="auto"/>
              <w:rPr>
                <w:rFonts w:ascii="Arial" w:hAnsi="Arial" w:cs="Arial"/>
                <w:b/>
                <w:bCs/>
                <w:color w:val="FFFFFF"/>
                <w:sz w:val="16"/>
                <w:szCs w:val="16"/>
                <w:lang w:val="fr-FR" w:eastAsia="fr-FR"/>
              </w:rPr>
            </w:pPr>
            <w:r w:rsidRPr="00636B16">
              <w:rPr>
                <w:rFonts w:ascii="Arial" w:hAnsi="Arial" w:cs="Arial"/>
                <w:b/>
                <w:bCs/>
                <w:color w:val="FFFFFF"/>
                <w:sz w:val="16"/>
                <w:szCs w:val="16"/>
                <w:lang w:val="fr-FR" w:eastAsia="fr-FR"/>
              </w:rPr>
              <w:t>Composition des coûts</w:t>
            </w:r>
          </w:p>
        </w:tc>
        <w:tc>
          <w:tcPr>
            <w:tcW w:w="2289"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rsidR="00636B16" w:rsidRPr="00636B16" w:rsidRDefault="00636B16" w:rsidP="00636B16">
            <w:pPr>
              <w:spacing w:after="0" w:line="240" w:lineRule="auto"/>
              <w:jc w:val="center"/>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Si vous sortez après 1 an</w:t>
            </w:r>
          </w:p>
        </w:tc>
      </w:tr>
      <w:tr w:rsidR="00636B16" w:rsidRPr="00636B16" w:rsidTr="00636B16">
        <w:trPr>
          <w:trHeight w:val="408"/>
        </w:trPr>
        <w:tc>
          <w:tcPr>
            <w:tcW w:w="2257" w:type="dxa"/>
            <w:vMerge/>
            <w:tcBorders>
              <w:top w:val="single" w:sz="4" w:space="0" w:color="auto"/>
              <w:left w:val="single" w:sz="4" w:space="0" w:color="auto"/>
              <w:bottom w:val="single" w:sz="4" w:space="0" w:color="000000"/>
              <w:right w:val="nil"/>
            </w:tcBorders>
            <w:vAlign w:val="center"/>
            <w:hideMark/>
          </w:tcPr>
          <w:p w:rsidR="00636B16" w:rsidRPr="00636B16" w:rsidRDefault="00636B16" w:rsidP="00636B16">
            <w:pPr>
              <w:spacing w:after="0" w:line="240" w:lineRule="auto"/>
              <w:rPr>
                <w:rFonts w:ascii="Arial" w:hAnsi="Arial" w:cs="Arial"/>
                <w:b/>
                <w:bCs/>
                <w:color w:val="FFFFFF"/>
                <w:sz w:val="16"/>
                <w:szCs w:val="16"/>
                <w:lang w:val="fr-FR" w:eastAsia="fr-FR"/>
              </w:rPr>
            </w:pPr>
          </w:p>
        </w:tc>
        <w:tc>
          <w:tcPr>
            <w:tcW w:w="6648" w:type="dxa"/>
            <w:gridSpan w:val="4"/>
            <w:vMerge/>
            <w:tcBorders>
              <w:top w:val="single" w:sz="4" w:space="0" w:color="auto"/>
              <w:left w:val="nil"/>
              <w:bottom w:val="single" w:sz="4" w:space="0" w:color="000000"/>
              <w:right w:val="single" w:sz="4" w:space="0" w:color="000000"/>
            </w:tcBorders>
            <w:vAlign w:val="center"/>
            <w:hideMark/>
          </w:tcPr>
          <w:p w:rsidR="00636B16" w:rsidRPr="00636B16" w:rsidRDefault="00636B16" w:rsidP="00636B16">
            <w:pPr>
              <w:spacing w:after="0" w:line="240" w:lineRule="auto"/>
              <w:rPr>
                <w:rFonts w:ascii="Arial" w:hAnsi="Arial" w:cs="Arial"/>
                <w:b/>
                <w:bCs/>
                <w:color w:val="FFFFFF"/>
                <w:sz w:val="16"/>
                <w:szCs w:val="16"/>
                <w:lang w:val="fr-FR" w:eastAsia="fr-FR"/>
              </w:rPr>
            </w:pPr>
          </w:p>
        </w:tc>
        <w:tc>
          <w:tcPr>
            <w:tcW w:w="2289" w:type="dxa"/>
            <w:vMerge/>
            <w:tcBorders>
              <w:top w:val="single" w:sz="4" w:space="0" w:color="auto"/>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r>
      <w:tr w:rsidR="00636B16" w:rsidRPr="00636B16" w:rsidTr="00636B16">
        <w:trPr>
          <w:trHeight w:val="289"/>
        </w:trPr>
        <w:tc>
          <w:tcPr>
            <w:tcW w:w="3919" w:type="dxa"/>
            <w:gridSpan w:val="2"/>
            <w:tcBorders>
              <w:top w:val="single" w:sz="4" w:space="0" w:color="auto"/>
              <w:left w:val="single" w:sz="4" w:space="0" w:color="auto"/>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Coûts ponctuels à l’entrée ou à la sortie</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2289" w:type="dxa"/>
            <w:tcBorders>
              <w:top w:val="nil"/>
              <w:left w:val="nil"/>
              <w:bottom w:val="single" w:sz="4" w:space="0" w:color="auto"/>
              <w:right w:val="single" w:sz="4" w:space="0" w:color="auto"/>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r>
      <w:tr w:rsidR="00636B16" w:rsidRPr="00636B16" w:rsidTr="00636B16">
        <w:trPr>
          <w:trHeight w:val="289"/>
        </w:trPr>
        <w:tc>
          <w:tcPr>
            <w:tcW w:w="2257" w:type="dxa"/>
            <w:tcBorders>
              <w:top w:val="nil"/>
              <w:left w:val="single" w:sz="4" w:space="0" w:color="auto"/>
              <w:bottom w:val="single" w:sz="4" w:space="0" w:color="auto"/>
              <w:right w:val="single" w:sz="4" w:space="0" w:color="auto"/>
            </w:tcBorders>
            <w:shd w:val="clear" w:color="auto" w:fill="auto"/>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Coûts d’entrée</w:t>
            </w:r>
          </w:p>
        </w:tc>
        <w:tc>
          <w:tcPr>
            <w:tcW w:w="664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4,0% du montant que vous payez au moment de l’entrée dans l’investissement.</w:t>
            </w:r>
          </w:p>
        </w:tc>
        <w:tc>
          <w:tcPr>
            <w:tcW w:w="2289" w:type="dxa"/>
            <w:tcBorders>
              <w:top w:val="nil"/>
              <w:left w:val="nil"/>
              <w:bottom w:val="single" w:sz="4" w:space="0" w:color="auto"/>
              <w:right w:val="single" w:sz="4" w:space="0" w:color="auto"/>
            </w:tcBorders>
            <w:shd w:val="clear" w:color="auto" w:fill="auto"/>
            <w:vAlign w:val="center"/>
            <w:hideMark/>
          </w:tcPr>
          <w:p w:rsidR="00636B16" w:rsidRPr="00636B16" w:rsidRDefault="00636B16" w:rsidP="00636B16">
            <w:pPr>
              <w:spacing w:after="0" w:line="240" w:lineRule="auto"/>
              <w:jc w:val="center"/>
              <w:rPr>
                <w:rFonts w:ascii="Arial" w:hAnsi="Arial" w:cs="Arial"/>
                <w:color w:val="000000"/>
                <w:sz w:val="16"/>
                <w:szCs w:val="16"/>
                <w:lang w:val="fr-FR" w:eastAsia="fr-FR"/>
              </w:rPr>
            </w:pPr>
            <w:r w:rsidRPr="00636B16">
              <w:rPr>
                <w:rFonts w:ascii="Arial" w:hAnsi="Arial" w:cs="Arial"/>
                <w:color w:val="000000"/>
                <w:sz w:val="16"/>
                <w:szCs w:val="16"/>
                <w:lang w:val="fr-FR" w:eastAsia="fr-FR"/>
              </w:rPr>
              <w:t xml:space="preserve">  400 EUR </w:t>
            </w:r>
          </w:p>
        </w:tc>
      </w:tr>
      <w:tr w:rsidR="00636B16" w:rsidRPr="00636B16" w:rsidTr="00636B16">
        <w:trPr>
          <w:trHeight w:val="289"/>
        </w:trPr>
        <w:tc>
          <w:tcPr>
            <w:tcW w:w="2257" w:type="dxa"/>
            <w:tcBorders>
              <w:top w:val="nil"/>
              <w:left w:val="single" w:sz="4" w:space="0" w:color="auto"/>
              <w:bottom w:val="single" w:sz="4" w:space="0" w:color="auto"/>
              <w:right w:val="single" w:sz="4" w:space="0" w:color="auto"/>
            </w:tcBorders>
            <w:shd w:val="clear" w:color="auto" w:fill="auto"/>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Coûts de sortie</w:t>
            </w:r>
          </w:p>
        </w:tc>
        <w:tc>
          <w:tcPr>
            <w:tcW w:w="6648" w:type="dxa"/>
            <w:gridSpan w:val="4"/>
            <w:tcBorders>
              <w:top w:val="single" w:sz="4" w:space="0" w:color="auto"/>
              <w:left w:val="nil"/>
              <w:bottom w:val="single" w:sz="4" w:space="0" w:color="auto"/>
              <w:right w:val="single" w:sz="4" w:space="0" w:color="000000"/>
            </w:tcBorders>
            <w:shd w:val="clear" w:color="auto" w:fill="auto"/>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Nous ne facturons pas de coût de sortie pour ce produit.</w:t>
            </w:r>
          </w:p>
        </w:tc>
        <w:tc>
          <w:tcPr>
            <w:tcW w:w="2289" w:type="dxa"/>
            <w:tcBorders>
              <w:top w:val="nil"/>
              <w:left w:val="nil"/>
              <w:bottom w:val="single" w:sz="4" w:space="0" w:color="auto"/>
              <w:right w:val="single" w:sz="4" w:space="0" w:color="auto"/>
            </w:tcBorders>
            <w:shd w:val="clear" w:color="auto" w:fill="auto"/>
            <w:vAlign w:val="center"/>
            <w:hideMark/>
          </w:tcPr>
          <w:p w:rsidR="00636B16" w:rsidRPr="00636B16" w:rsidRDefault="00636B16" w:rsidP="00636B16">
            <w:pPr>
              <w:spacing w:after="0" w:line="240" w:lineRule="auto"/>
              <w:jc w:val="center"/>
              <w:rPr>
                <w:rFonts w:ascii="Arial" w:hAnsi="Arial" w:cs="Arial"/>
                <w:color w:val="000000"/>
                <w:sz w:val="16"/>
                <w:szCs w:val="16"/>
                <w:lang w:val="fr-FR" w:eastAsia="fr-FR"/>
              </w:rPr>
            </w:pPr>
            <w:r w:rsidRPr="00636B16">
              <w:rPr>
                <w:rFonts w:ascii="Arial" w:hAnsi="Arial" w:cs="Arial"/>
                <w:color w:val="000000"/>
                <w:sz w:val="16"/>
                <w:szCs w:val="16"/>
                <w:lang w:val="fr-FR" w:eastAsia="fr-FR"/>
              </w:rPr>
              <w:t xml:space="preserve">  0 EUR </w:t>
            </w:r>
          </w:p>
        </w:tc>
      </w:tr>
      <w:tr w:rsidR="00636B16" w:rsidRPr="00636B16" w:rsidTr="00636B16">
        <w:trPr>
          <w:trHeight w:val="300"/>
        </w:trPr>
        <w:tc>
          <w:tcPr>
            <w:tcW w:w="2257" w:type="dxa"/>
            <w:tcBorders>
              <w:top w:val="nil"/>
              <w:left w:val="single" w:sz="4" w:space="0" w:color="auto"/>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Coûts récurrents</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2289" w:type="dxa"/>
            <w:tcBorders>
              <w:top w:val="nil"/>
              <w:left w:val="nil"/>
              <w:bottom w:val="single" w:sz="4" w:space="0" w:color="auto"/>
              <w:right w:val="single" w:sz="4" w:space="0" w:color="auto"/>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bookmarkStart w:id="0" w:name="_GoBack"/>
        <w:bookmarkEnd w:id="0"/>
      </w:tr>
      <w:tr w:rsidR="00636B16" w:rsidRPr="00636B16" w:rsidTr="00636B16">
        <w:trPr>
          <w:trHeight w:val="300"/>
        </w:trPr>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Frais de gestion et autres frais administratifs et d’exploitation</w:t>
            </w:r>
          </w:p>
        </w:tc>
        <w:tc>
          <w:tcPr>
            <w:tcW w:w="66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3,2% de la valeur de votre investissement par an. Cette estimation se base sur les coûts réels au cours de l’année dernière.</w:t>
            </w:r>
          </w:p>
        </w:tc>
        <w:tc>
          <w:tcPr>
            <w:tcW w:w="2289" w:type="dxa"/>
            <w:vMerge w:val="restart"/>
            <w:tcBorders>
              <w:top w:val="nil"/>
              <w:left w:val="single" w:sz="4" w:space="0" w:color="auto"/>
              <w:bottom w:val="single" w:sz="4" w:space="0" w:color="000000"/>
              <w:right w:val="single" w:sz="4" w:space="0" w:color="auto"/>
            </w:tcBorders>
            <w:shd w:val="clear" w:color="auto" w:fill="auto"/>
            <w:vAlign w:val="center"/>
            <w:hideMark/>
          </w:tcPr>
          <w:p w:rsidR="00636B16" w:rsidRPr="00636B16" w:rsidRDefault="00636B16" w:rsidP="00636B16">
            <w:pPr>
              <w:spacing w:after="0" w:line="240" w:lineRule="auto"/>
              <w:jc w:val="center"/>
              <w:rPr>
                <w:rFonts w:ascii="Arial" w:hAnsi="Arial" w:cs="Arial"/>
                <w:color w:val="000000"/>
                <w:sz w:val="16"/>
                <w:szCs w:val="16"/>
                <w:lang w:val="fr-FR" w:eastAsia="fr-FR"/>
              </w:rPr>
            </w:pPr>
            <w:r w:rsidRPr="00636B16">
              <w:rPr>
                <w:rFonts w:ascii="Arial" w:hAnsi="Arial" w:cs="Arial"/>
                <w:color w:val="000000"/>
                <w:sz w:val="16"/>
                <w:szCs w:val="16"/>
                <w:lang w:val="fr-FR" w:eastAsia="fr-FR"/>
              </w:rPr>
              <w:t xml:space="preserve">  302 EUR </w:t>
            </w:r>
          </w:p>
        </w:tc>
      </w:tr>
      <w:tr w:rsidR="00636B16" w:rsidRPr="00636B16" w:rsidTr="00636B16">
        <w:trPr>
          <w:trHeight w:val="408"/>
        </w:trPr>
        <w:tc>
          <w:tcPr>
            <w:tcW w:w="2257" w:type="dxa"/>
            <w:vMerge/>
            <w:tcBorders>
              <w:top w:val="nil"/>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c>
          <w:tcPr>
            <w:tcW w:w="6648" w:type="dxa"/>
            <w:gridSpan w:val="4"/>
            <w:vMerge/>
            <w:tcBorders>
              <w:top w:val="single" w:sz="4" w:space="0" w:color="auto"/>
              <w:left w:val="single" w:sz="4" w:space="0" w:color="auto"/>
              <w:bottom w:val="single" w:sz="4" w:space="0" w:color="000000"/>
              <w:right w:val="single" w:sz="4" w:space="0" w:color="000000"/>
            </w:tcBorders>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p>
        </w:tc>
        <w:tc>
          <w:tcPr>
            <w:tcW w:w="2289" w:type="dxa"/>
            <w:vMerge/>
            <w:tcBorders>
              <w:top w:val="nil"/>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p>
        </w:tc>
      </w:tr>
      <w:tr w:rsidR="00636B16" w:rsidRPr="00636B16" w:rsidTr="00636B16">
        <w:trPr>
          <w:trHeight w:val="300"/>
        </w:trPr>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Coûts de transaction</w:t>
            </w:r>
          </w:p>
        </w:tc>
        <w:tc>
          <w:tcPr>
            <w:tcW w:w="66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0,3% de la valeur de votre investissement par an. Il s'agit d'une estimation des coûts encourus lorsque nous achetons et vendons les investissements sous-jacents au produit. Le montant réel varie en fonction de la quantité que nous achetons et vendons.</w:t>
            </w:r>
          </w:p>
        </w:tc>
        <w:tc>
          <w:tcPr>
            <w:tcW w:w="2289" w:type="dxa"/>
            <w:vMerge w:val="restart"/>
            <w:tcBorders>
              <w:top w:val="nil"/>
              <w:left w:val="single" w:sz="4" w:space="0" w:color="auto"/>
              <w:bottom w:val="single" w:sz="4" w:space="0" w:color="000000"/>
              <w:right w:val="single" w:sz="4" w:space="0" w:color="auto"/>
            </w:tcBorders>
            <w:shd w:val="clear" w:color="auto" w:fill="auto"/>
            <w:vAlign w:val="center"/>
            <w:hideMark/>
          </w:tcPr>
          <w:p w:rsidR="00636B16" w:rsidRPr="00636B16" w:rsidRDefault="00636B16" w:rsidP="00636B16">
            <w:pPr>
              <w:spacing w:after="0" w:line="240" w:lineRule="auto"/>
              <w:jc w:val="center"/>
              <w:rPr>
                <w:rFonts w:ascii="Arial" w:hAnsi="Arial" w:cs="Arial"/>
                <w:color w:val="000000"/>
                <w:sz w:val="16"/>
                <w:szCs w:val="16"/>
                <w:lang w:val="fr-FR" w:eastAsia="fr-FR"/>
              </w:rPr>
            </w:pPr>
            <w:r w:rsidRPr="00636B16">
              <w:rPr>
                <w:rFonts w:ascii="Arial" w:hAnsi="Arial" w:cs="Arial"/>
                <w:color w:val="000000"/>
                <w:sz w:val="16"/>
                <w:szCs w:val="16"/>
                <w:lang w:val="fr-FR" w:eastAsia="fr-FR"/>
              </w:rPr>
              <w:t xml:space="preserve">  27 EUR </w:t>
            </w:r>
          </w:p>
        </w:tc>
      </w:tr>
      <w:tr w:rsidR="00636B16" w:rsidRPr="00636B16" w:rsidTr="00636B16">
        <w:trPr>
          <w:trHeight w:val="408"/>
        </w:trPr>
        <w:tc>
          <w:tcPr>
            <w:tcW w:w="2257" w:type="dxa"/>
            <w:vMerge/>
            <w:tcBorders>
              <w:top w:val="nil"/>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c>
          <w:tcPr>
            <w:tcW w:w="6648" w:type="dxa"/>
            <w:gridSpan w:val="4"/>
            <w:vMerge/>
            <w:tcBorders>
              <w:top w:val="single" w:sz="4" w:space="0" w:color="auto"/>
              <w:left w:val="single" w:sz="4" w:space="0" w:color="auto"/>
              <w:bottom w:val="single" w:sz="4" w:space="0" w:color="000000"/>
              <w:right w:val="single" w:sz="4" w:space="0" w:color="000000"/>
            </w:tcBorders>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p>
        </w:tc>
        <w:tc>
          <w:tcPr>
            <w:tcW w:w="2289" w:type="dxa"/>
            <w:vMerge/>
            <w:tcBorders>
              <w:top w:val="nil"/>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p>
        </w:tc>
      </w:tr>
      <w:tr w:rsidR="00636B16" w:rsidRPr="00636B16" w:rsidTr="00636B16">
        <w:trPr>
          <w:trHeight w:val="300"/>
        </w:trPr>
        <w:tc>
          <w:tcPr>
            <w:tcW w:w="5581" w:type="dxa"/>
            <w:gridSpan w:val="3"/>
            <w:tcBorders>
              <w:top w:val="single" w:sz="4" w:space="0" w:color="auto"/>
              <w:left w:val="single" w:sz="4" w:space="0" w:color="auto"/>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Coûts accessoires prélevés sous certaines conditions</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1662" w:type="dxa"/>
            <w:tcBorders>
              <w:top w:val="nil"/>
              <w:left w:val="nil"/>
              <w:bottom w:val="single" w:sz="4" w:space="0" w:color="auto"/>
              <w:right w:val="nil"/>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c>
          <w:tcPr>
            <w:tcW w:w="2289" w:type="dxa"/>
            <w:tcBorders>
              <w:top w:val="nil"/>
              <w:left w:val="nil"/>
              <w:bottom w:val="single" w:sz="4" w:space="0" w:color="auto"/>
              <w:right w:val="single" w:sz="4" w:space="0" w:color="auto"/>
            </w:tcBorders>
            <w:shd w:val="clear" w:color="000000" w:fill="D9E1F2"/>
            <w:noWrap/>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 </w:t>
            </w:r>
          </w:p>
        </w:tc>
      </w:tr>
      <w:tr w:rsidR="00636B16" w:rsidRPr="00636B16" w:rsidTr="00636B16">
        <w:trPr>
          <w:trHeight w:val="300"/>
        </w:trPr>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r w:rsidRPr="00636B16">
              <w:rPr>
                <w:rFonts w:ascii="Arial" w:hAnsi="Arial" w:cs="Arial"/>
                <w:b/>
                <w:bCs/>
                <w:color w:val="000000"/>
                <w:sz w:val="16"/>
                <w:szCs w:val="16"/>
                <w:lang w:val="fr-FR" w:eastAsia="fr-FR"/>
              </w:rPr>
              <w:t>Commissions liées aux résultats et commission d’intéressement</w:t>
            </w:r>
          </w:p>
        </w:tc>
        <w:tc>
          <w:tcPr>
            <w:tcW w:w="66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r w:rsidRPr="00636B16">
              <w:rPr>
                <w:rFonts w:ascii="Arial" w:hAnsi="Arial" w:cs="Arial"/>
                <w:color w:val="000000"/>
                <w:sz w:val="16"/>
                <w:szCs w:val="16"/>
                <w:lang w:val="fr-FR" w:eastAsia="fr-FR"/>
              </w:rPr>
              <w:t>Le montant réel varie en fonction de la performance de votre investissement. L’estimation ci-dessus des coûts totaux comprend la moyenne au cours des 5 dernières années.</w:t>
            </w:r>
          </w:p>
        </w:tc>
        <w:tc>
          <w:tcPr>
            <w:tcW w:w="2289" w:type="dxa"/>
            <w:vMerge w:val="restart"/>
            <w:tcBorders>
              <w:top w:val="nil"/>
              <w:left w:val="single" w:sz="4" w:space="0" w:color="auto"/>
              <w:bottom w:val="single" w:sz="4" w:space="0" w:color="000000"/>
              <w:right w:val="single" w:sz="4" w:space="0" w:color="auto"/>
            </w:tcBorders>
            <w:shd w:val="clear" w:color="auto" w:fill="auto"/>
            <w:vAlign w:val="center"/>
            <w:hideMark/>
          </w:tcPr>
          <w:p w:rsidR="00636B16" w:rsidRPr="00636B16" w:rsidRDefault="00636B16" w:rsidP="00636B16">
            <w:pPr>
              <w:spacing w:after="0" w:line="240" w:lineRule="auto"/>
              <w:jc w:val="center"/>
              <w:rPr>
                <w:rFonts w:ascii="Arial" w:hAnsi="Arial" w:cs="Arial"/>
                <w:color w:val="000000"/>
                <w:sz w:val="16"/>
                <w:szCs w:val="16"/>
                <w:lang w:val="fr-FR" w:eastAsia="fr-FR"/>
              </w:rPr>
            </w:pPr>
            <w:r w:rsidRPr="00636B16">
              <w:rPr>
                <w:rFonts w:ascii="Arial" w:hAnsi="Arial" w:cs="Arial"/>
                <w:color w:val="000000"/>
                <w:sz w:val="16"/>
                <w:szCs w:val="16"/>
                <w:lang w:val="fr-FR" w:eastAsia="fr-FR"/>
              </w:rPr>
              <w:t xml:space="preserve">  13 EUR </w:t>
            </w:r>
          </w:p>
        </w:tc>
      </w:tr>
      <w:tr w:rsidR="00636B16" w:rsidRPr="00636B16" w:rsidTr="00636B16">
        <w:trPr>
          <w:trHeight w:val="408"/>
        </w:trPr>
        <w:tc>
          <w:tcPr>
            <w:tcW w:w="2257" w:type="dxa"/>
            <w:vMerge/>
            <w:tcBorders>
              <w:top w:val="nil"/>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b/>
                <w:bCs/>
                <w:color w:val="000000"/>
                <w:sz w:val="16"/>
                <w:szCs w:val="16"/>
                <w:lang w:val="fr-FR" w:eastAsia="fr-FR"/>
              </w:rPr>
            </w:pPr>
          </w:p>
        </w:tc>
        <w:tc>
          <w:tcPr>
            <w:tcW w:w="6648" w:type="dxa"/>
            <w:gridSpan w:val="4"/>
            <w:vMerge/>
            <w:tcBorders>
              <w:top w:val="single" w:sz="4" w:space="0" w:color="auto"/>
              <w:left w:val="single" w:sz="4" w:space="0" w:color="auto"/>
              <w:bottom w:val="single" w:sz="4" w:space="0" w:color="000000"/>
              <w:right w:val="single" w:sz="4" w:space="0" w:color="000000"/>
            </w:tcBorders>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p>
        </w:tc>
        <w:tc>
          <w:tcPr>
            <w:tcW w:w="2289" w:type="dxa"/>
            <w:vMerge/>
            <w:tcBorders>
              <w:top w:val="nil"/>
              <w:left w:val="single" w:sz="4" w:space="0" w:color="auto"/>
              <w:bottom w:val="single" w:sz="4" w:space="0" w:color="000000"/>
              <w:right w:val="single" w:sz="4" w:space="0" w:color="auto"/>
            </w:tcBorders>
            <w:vAlign w:val="center"/>
            <w:hideMark/>
          </w:tcPr>
          <w:p w:rsidR="00636B16" w:rsidRPr="00636B16" w:rsidRDefault="00636B16" w:rsidP="00636B16">
            <w:pPr>
              <w:spacing w:after="0" w:line="240" w:lineRule="auto"/>
              <w:rPr>
                <w:rFonts w:ascii="Arial" w:hAnsi="Arial" w:cs="Arial"/>
                <w:color w:val="000000"/>
                <w:sz w:val="16"/>
                <w:szCs w:val="16"/>
                <w:lang w:val="fr-FR" w:eastAsia="fr-FR"/>
              </w:rPr>
            </w:pPr>
          </w:p>
        </w:tc>
      </w:tr>
    </w:tbl>
    <w:p w:rsidR="00F243CA" w:rsidRPr="00F243CA" w:rsidRDefault="00F243CA">
      <w:pPr>
        <w:spacing w:after="0" w:line="240" w:lineRule="auto"/>
        <w:jc w:val="both"/>
        <w:rPr>
          <w:rFonts w:ascii="Arial" w:eastAsia="Arial" w:hAnsi="Arial" w:cs="Arial"/>
          <w:sz w:val="4"/>
          <w:szCs w:val="4"/>
          <w:lang w:val="fr-FR" w:eastAsia="en-US"/>
        </w:rPr>
      </w:pPr>
    </w:p>
    <w:p w:rsidR="00E938C0" w:rsidRPr="003A14CE" w:rsidRDefault="00E938C0">
      <w:pPr>
        <w:spacing w:after="0" w:line="240" w:lineRule="auto"/>
        <w:jc w:val="both"/>
        <w:rPr>
          <w:rFonts w:ascii="Arial" w:eastAsia="Arial" w:hAnsi="Arial" w:cs="Arial"/>
          <w:sz w:val="10"/>
          <w:szCs w:val="16"/>
          <w:lang w:val="fr-FR" w:eastAsia="en-US"/>
        </w:rPr>
      </w:pPr>
    </w:p>
    <w:p w:rsidR="00CA74EA" w:rsidRDefault="00265E1F">
      <w:pPr>
        <w:spacing w:after="0" w:line="240" w:lineRule="auto"/>
        <w:jc w:val="both"/>
        <w:rPr>
          <w:rFonts w:ascii="Arial" w:eastAsia="Arial" w:hAnsi="Arial" w:cs="Arial"/>
          <w:sz w:val="16"/>
          <w:szCs w:val="16"/>
          <w:lang w:val="fr-FR" w:eastAsia="en-US"/>
        </w:rPr>
      </w:pPr>
      <w:r>
        <w:rPr>
          <w:rFonts w:ascii="Arial" w:eastAsia="Arial" w:hAnsi="Arial" w:cs="Arial"/>
          <w:sz w:val="16"/>
          <w:szCs w:val="16"/>
          <w:lang w:val="fr-FR" w:eastAsia="en-US"/>
        </w:rPr>
        <w:t>Différents coûts s'appliquent en fonction du montant d'investissement. Pour plus d'informations, veuillez-vous référer aux frai</w:t>
      </w:r>
      <w:r w:rsidR="000D3BD3">
        <w:rPr>
          <w:rFonts w:ascii="Arial" w:eastAsia="Arial" w:hAnsi="Arial" w:cs="Arial"/>
          <w:sz w:val="16"/>
          <w:szCs w:val="16"/>
          <w:lang w:val="fr-FR" w:eastAsia="en-US"/>
        </w:rPr>
        <w:t>s et commissions du prospectus.</w:t>
      </w:r>
    </w:p>
    <w:p w:rsidR="000D3BD3" w:rsidRDefault="000D3BD3">
      <w:pPr>
        <w:spacing w:after="0" w:line="240" w:lineRule="auto"/>
        <w:jc w:val="both"/>
        <w:rPr>
          <w:rFonts w:ascii="Arial" w:eastAsia="Arial" w:hAnsi="Arial" w:cs="Arial"/>
          <w:sz w:val="16"/>
          <w:szCs w:val="16"/>
          <w:lang w:val="fr-FR" w:eastAsia="en-US"/>
        </w:rPr>
      </w:pPr>
    </w:p>
    <w:p w:rsidR="00F243CA" w:rsidRPr="00F243CA" w:rsidRDefault="00F243CA">
      <w:pPr>
        <w:spacing w:after="0" w:line="240" w:lineRule="auto"/>
        <w:jc w:val="both"/>
        <w:rPr>
          <w:rFonts w:ascii="Arial" w:eastAsia="Arial" w:hAnsi="Arial" w:cs="Arial"/>
          <w:sz w:val="4"/>
          <w:szCs w:val="4"/>
          <w:lang w:val="fr-FR" w:eastAsia="en-US"/>
        </w:rPr>
      </w:pP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COMBIEN DE TEMPS DOIS-JE LE CONSERVER ET PUIS-JE RETIRER DE L’ARGENT DE FACON ANTICIPEE ? </w:t>
      </w:r>
    </w:p>
    <w:p w:rsidR="00F243CA" w:rsidRPr="00F243CA" w:rsidRDefault="00F243CA">
      <w:pPr>
        <w:spacing w:after="0" w:line="240" w:lineRule="auto"/>
        <w:jc w:val="both"/>
        <w:rPr>
          <w:rFonts w:ascii="Arial" w:eastAsia="Arial" w:hAnsi="Arial" w:cs="Arial"/>
          <w:b/>
          <w:color w:val="000000"/>
          <w:sz w:val="4"/>
          <w:szCs w:val="4"/>
          <w:lang w:val="fr-FR" w:eastAsia="en-US"/>
        </w:rPr>
      </w:pPr>
    </w:p>
    <w:p w:rsidR="00CA74EA" w:rsidRDefault="00265E1F">
      <w:pPr>
        <w:spacing w:after="0" w:line="240" w:lineRule="auto"/>
        <w:jc w:val="both"/>
        <w:rPr>
          <w:rFonts w:ascii="Arial" w:eastAsia="Arial" w:hAnsi="Arial" w:cs="Arial"/>
          <w:color w:val="000000"/>
          <w:sz w:val="16"/>
          <w:szCs w:val="16"/>
          <w:lang w:val="fr-FR" w:eastAsia="en-US"/>
        </w:rPr>
      </w:pPr>
      <w:r>
        <w:rPr>
          <w:rFonts w:ascii="Arial" w:eastAsia="Arial" w:hAnsi="Arial" w:cs="Arial"/>
          <w:b/>
          <w:color w:val="000000"/>
          <w:sz w:val="16"/>
          <w:szCs w:val="16"/>
          <w:lang w:val="fr-FR" w:eastAsia="en-US"/>
        </w:rPr>
        <w:t>PERIODE DE DETENTION RECOMMANDEE :</w:t>
      </w:r>
      <w:r>
        <w:rPr>
          <w:rFonts w:ascii="Arial" w:eastAsia="Arial" w:hAnsi="Arial" w:cs="Arial"/>
          <w:color w:val="000000"/>
          <w:sz w:val="16"/>
          <w:szCs w:val="16"/>
          <w:lang w:val="fr-FR" w:eastAsia="en-US"/>
        </w:rPr>
        <w:t xml:space="preserve"> </w:t>
      </w:r>
      <w:r>
        <w:rPr>
          <w:rFonts w:ascii="Arial" w:eastAsia="Arial" w:hAnsi="Arial" w:cs="Arial"/>
          <w:noProof/>
          <w:color w:val="000000"/>
          <w:sz w:val="16"/>
          <w:szCs w:val="16"/>
          <w:lang w:val="fr-FR" w:eastAsia="en-US"/>
        </w:rPr>
        <w:t>Supérieure à 5 ans</w:t>
      </w:r>
    </w:p>
    <w:p w:rsidR="00CA74EA" w:rsidRDefault="00265E1F">
      <w:pPr>
        <w:spacing w:after="0" w:line="240" w:lineRule="auto"/>
        <w:jc w:val="both"/>
        <w:rPr>
          <w:rFonts w:ascii="Arial" w:eastAsia="Arial" w:hAnsi="Arial" w:cs="Arial"/>
          <w:b/>
          <w:sz w:val="16"/>
          <w:szCs w:val="16"/>
          <w:lang w:val="fr-FR" w:eastAsia="en-US"/>
        </w:rPr>
      </w:pPr>
      <w:r>
        <w:rPr>
          <w:rFonts w:ascii="Arial" w:eastAsia="Arial" w:hAnsi="Arial" w:cs="Arial"/>
          <w:noProof/>
          <w:color w:val="000000"/>
          <w:sz w:val="16"/>
          <w:szCs w:val="16"/>
          <w:lang w:val="fr-FR" w:eastAsia="en-US"/>
        </w:rPr>
        <w:t>Il n'existe pas de période de détention minimale pour cet OPCVM, mais une période de détention recommandée qui a été calculée en adéquation avec les objectifs d'investissement du fonds.</w:t>
      </w:r>
    </w:p>
    <w:p w:rsidR="00CA74EA" w:rsidRDefault="00265E1F">
      <w:pPr>
        <w:spacing w:after="0" w:line="240" w:lineRule="auto"/>
        <w:jc w:val="both"/>
        <w:rPr>
          <w:rFonts w:ascii="Arial" w:eastAsia="Arial" w:hAnsi="Arial" w:cs="Arial"/>
          <w:noProof/>
          <w:color w:val="000000"/>
          <w:sz w:val="16"/>
          <w:szCs w:val="16"/>
          <w:lang w:val="fr-FR" w:eastAsia="en-US"/>
        </w:rPr>
      </w:pPr>
      <w:r>
        <w:rPr>
          <w:rFonts w:ascii="Arial" w:eastAsia="Arial" w:hAnsi="Arial" w:cs="Arial"/>
          <w:noProof/>
          <w:color w:val="000000"/>
          <w:sz w:val="16"/>
          <w:szCs w:val="16"/>
          <w:lang w:val="fr-FR" w:eastAsia="en-US"/>
        </w:rPr>
        <w:t>Compte tenu de ses caractéristiques et de la nature de ses actifs sous-jacents, ce produit est conçu pour des investissements à long terme; vous devez être prêt à rester investi plus de 5 ans. Vous pouvez vendre votre investissement avant la fin de la période de détention recommandée sans pénalités/frais.</w:t>
      </w:r>
    </w:p>
    <w:p w:rsidR="000D3BD3" w:rsidRPr="00093BF3" w:rsidRDefault="000D3BD3">
      <w:pPr>
        <w:spacing w:after="0" w:line="240" w:lineRule="auto"/>
        <w:jc w:val="both"/>
        <w:rPr>
          <w:rFonts w:ascii="Arial" w:eastAsia="Arial" w:hAnsi="Arial" w:cs="Arial"/>
          <w:b/>
          <w:sz w:val="4"/>
          <w:szCs w:val="4"/>
          <w:lang w:val="fr-FR" w:eastAsia="en-US"/>
        </w:rPr>
      </w:pPr>
    </w:p>
    <w:p w:rsidR="00CA74EA" w:rsidRPr="00F243CA" w:rsidRDefault="00265E1F">
      <w:pPr>
        <w:spacing w:after="0" w:line="240" w:lineRule="auto"/>
        <w:jc w:val="both"/>
        <w:rPr>
          <w:rFonts w:ascii="Arial" w:eastAsia="Arial" w:hAnsi="Arial" w:cs="Arial"/>
          <w:sz w:val="4"/>
          <w:szCs w:val="4"/>
          <w:lang w:val="fr-FR" w:eastAsia="en-US"/>
        </w:rPr>
      </w:pPr>
      <w:r>
        <w:rPr>
          <w:rFonts w:ascii="Arial" w:eastAsia="Arial" w:hAnsi="Arial" w:cs="Arial"/>
          <w:sz w:val="16"/>
          <w:szCs w:val="16"/>
          <w:lang w:val="fr-FR" w:eastAsia="en-US"/>
        </w:rPr>
        <w:t xml:space="preserve"> </w:t>
      </w: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COMMENT PUIS-JE INTRODUIRE UNE RECLAMATION ? </w:t>
      </w:r>
    </w:p>
    <w:p w:rsidR="00F243CA" w:rsidRPr="00F243CA" w:rsidRDefault="00F243CA">
      <w:pPr>
        <w:spacing w:after="0" w:line="240" w:lineRule="auto"/>
        <w:jc w:val="both"/>
        <w:rPr>
          <w:rFonts w:ascii="Arial" w:eastAsia="Arial" w:hAnsi="Arial" w:cs="Arial"/>
          <w:color w:val="000000"/>
          <w:sz w:val="4"/>
          <w:szCs w:val="4"/>
          <w:lang w:val="fr-FR" w:eastAsia="en-US"/>
        </w:rPr>
      </w:pPr>
    </w:p>
    <w:p w:rsidR="00CA74EA" w:rsidRDefault="00265E1F">
      <w:pPr>
        <w:spacing w:after="0" w:line="240" w:lineRule="auto"/>
        <w:jc w:val="both"/>
        <w:rPr>
          <w:rFonts w:ascii="Arial" w:eastAsia="Arial" w:hAnsi="Arial" w:cs="Arial"/>
          <w:color w:val="000000"/>
          <w:sz w:val="16"/>
          <w:szCs w:val="16"/>
          <w:lang w:val="fr-FR" w:eastAsia="en-US"/>
        </w:rPr>
      </w:pPr>
      <w:r>
        <w:rPr>
          <w:rFonts w:ascii="Arial" w:eastAsia="Arial" w:hAnsi="Arial" w:cs="Arial"/>
          <w:color w:val="000000"/>
          <w:sz w:val="16"/>
          <w:szCs w:val="16"/>
          <w:lang w:val="fr-FR" w:eastAsia="en-US"/>
        </w:rPr>
        <w:t xml:space="preserve">GSD GESTION informe sa Clientèle qu'elle met en </w:t>
      </w:r>
      <w:r w:rsidR="00F243CA">
        <w:rPr>
          <w:rFonts w:ascii="Arial" w:eastAsia="Arial" w:hAnsi="Arial" w:cs="Arial"/>
          <w:color w:val="000000"/>
          <w:sz w:val="16"/>
          <w:szCs w:val="16"/>
          <w:lang w:val="fr-FR" w:eastAsia="en-US"/>
        </w:rPr>
        <w:t>œuvre</w:t>
      </w:r>
      <w:r>
        <w:rPr>
          <w:rFonts w:ascii="Arial" w:eastAsia="Arial" w:hAnsi="Arial" w:cs="Arial"/>
          <w:color w:val="000000"/>
          <w:sz w:val="16"/>
          <w:szCs w:val="16"/>
          <w:lang w:val="fr-FR" w:eastAsia="en-US"/>
        </w:rPr>
        <w:t xml:space="preserve"> une procédure de traitement des réclamations. Pour son meilleur traitement, toute réclamation transmise par courrier doit être adressée au Service Juridique de GSD GESTION au 37 Rue de Liège, 75008 Paris. Une description du processus de traitement des réclamations est disponible sur notre site internet à l'adresse </w:t>
      </w:r>
      <w:hyperlink r:id="rId10" w:history="1">
        <w:r w:rsidR="000D3BD3" w:rsidRPr="00021357">
          <w:rPr>
            <w:rStyle w:val="Lienhypertexte"/>
            <w:rFonts w:ascii="Arial" w:eastAsia="Arial" w:hAnsi="Arial" w:cs="Arial"/>
            <w:sz w:val="16"/>
            <w:szCs w:val="16"/>
            <w:lang w:val="fr-FR" w:eastAsia="en-US"/>
          </w:rPr>
          <w:t>https://www.gsdgestion.com</w:t>
        </w:r>
      </w:hyperlink>
      <w:r>
        <w:rPr>
          <w:rFonts w:ascii="Arial" w:eastAsia="Arial" w:hAnsi="Arial" w:cs="Arial"/>
          <w:color w:val="000000"/>
          <w:sz w:val="16"/>
          <w:szCs w:val="16"/>
          <w:lang w:val="fr-FR" w:eastAsia="en-US"/>
        </w:rPr>
        <w:t>.</w:t>
      </w:r>
    </w:p>
    <w:p w:rsidR="000D3BD3" w:rsidRPr="00093BF3" w:rsidRDefault="000D3BD3">
      <w:pPr>
        <w:spacing w:after="0" w:line="240" w:lineRule="auto"/>
        <w:jc w:val="both"/>
        <w:rPr>
          <w:rFonts w:ascii="Arial" w:eastAsia="Arial" w:hAnsi="Arial" w:cs="Arial"/>
          <w:color w:val="000000"/>
          <w:sz w:val="4"/>
          <w:szCs w:val="4"/>
          <w:lang w:val="fr-FR" w:eastAsia="en-US"/>
        </w:rPr>
      </w:pPr>
    </w:p>
    <w:p w:rsidR="00CA74EA" w:rsidRPr="00F243CA" w:rsidRDefault="00265E1F">
      <w:pPr>
        <w:spacing w:after="0" w:line="240" w:lineRule="auto"/>
        <w:jc w:val="both"/>
        <w:rPr>
          <w:rFonts w:ascii="Arial" w:eastAsia="Arial" w:hAnsi="Arial" w:cs="Arial"/>
          <w:sz w:val="4"/>
          <w:szCs w:val="4"/>
          <w:lang w:val="fr-FR" w:eastAsia="en-US"/>
        </w:rPr>
      </w:pPr>
      <w:r>
        <w:rPr>
          <w:rFonts w:ascii="Arial" w:eastAsia="Arial" w:hAnsi="Arial" w:cs="Arial"/>
          <w:sz w:val="16"/>
          <w:szCs w:val="16"/>
          <w:lang w:val="fr-FR" w:eastAsia="en-US"/>
        </w:rPr>
        <w:t xml:space="preserve"> </w:t>
      </w:r>
    </w:p>
    <w:p w:rsidR="00CA74EA" w:rsidRDefault="00265E1F">
      <w:pPr>
        <w:shd w:val="clear" w:color="auto" w:fill="004494"/>
        <w:spacing w:after="0"/>
        <w:jc w:val="center"/>
        <w:rPr>
          <w:rFonts w:ascii="Arial" w:eastAsia="Arial" w:hAnsi="Arial" w:cs="Arial"/>
          <w:b/>
          <w:color w:val="FFFFFF"/>
          <w:sz w:val="16"/>
          <w:szCs w:val="16"/>
          <w:lang w:val="fr-FR" w:eastAsia="en-US"/>
        </w:rPr>
      </w:pPr>
      <w:r>
        <w:rPr>
          <w:rFonts w:ascii="Arial" w:eastAsia="Arial" w:hAnsi="Arial" w:cs="Arial"/>
          <w:b/>
          <w:color w:val="FFFFFF"/>
          <w:sz w:val="16"/>
          <w:szCs w:val="16"/>
          <w:lang w:val="fr-FR" w:eastAsia="en-US"/>
        </w:rPr>
        <w:t>AUTRES INFORMATIONS PERTINENTES </w:t>
      </w:r>
    </w:p>
    <w:p w:rsidR="00B440F8" w:rsidRPr="00093BF3" w:rsidRDefault="00B440F8" w:rsidP="00C344A7">
      <w:pPr>
        <w:spacing w:after="0" w:line="240" w:lineRule="auto"/>
        <w:jc w:val="both"/>
        <w:rPr>
          <w:rFonts w:ascii="Arial" w:eastAsia="Arial" w:hAnsi="Arial" w:cs="Arial"/>
          <w:noProof/>
          <w:sz w:val="4"/>
          <w:szCs w:val="4"/>
          <w:lang w:val="fr-FR" w:eastAsia="en-US"/>
        </w:rPr>
      </w:pPr>
    </w:p>
    <w:p w:rsidR="00C344A7" w:rsidRDefault="00C344A7" w:rsidP="00C344A7">
      <w:pPr>
        <w:spacing w:after="0" w:line="240" w:lineRule="auto"/>
        <w:jc w:val="both"/>
        <w:rPr>
          <w:rFonts w:ascii="Arial" w:eastAsia="Arial" w:hAnsi="Arial" w:cs="Arial"/>
          <w:sz w:val="16"/>
          <w:szCs w:val="16"/>
          <w:lang w:val="fr-FR" w:eastAsia="en-US"/>
        </w:rPr>
      </w:pPr>
      <w:r>
        <w:rPr>
          <w:rFonts w:ascii="Arial" w:eastAsia="Arial" w:hAnsi="Arial" w:cs="Arial"/>
          <w:noProof/>
          <w:sz w:val="16"/>
          <w:szCs w:val="16"/>
          <w:lang w:val="fr-FR" w:eastAsia="en-US"/>
        </w:rPr>
        <w:t xml:space="preserve">Vous pouvez obtenir de plus amples informations sur ce produit sur le site internet de la société </w:t>
      </w:r>
      <w:hyperlink r:id="rId11" w:history="1">
        <w:r w:rsidRPr="00BD7B6D">
          <w:rPr>
            <w:rStyle w:val="Lienhypertexte"/>
            <w:rFonts w:ascii="Arial" w:eastAsia="Arial" w:hAnsi="Arial" w:cs="Arial"/>
            <w:noProof/>
            <w:sz w:val="16"/>
            <w:szCs w:val="16"/>
            <w:lang w:val="fr-FR" w:eastAsia="en-US"/>
          </w:rPr>
          <w:t>https://www.gsdgestion.com</w:t>
        </w:r>
      </w:hyperlink>
      <w:r>
        <w:rPr>
          <w:rFonts w:ascii="Arial" w:eastAsia="Arial" w:hAnsi="Arial" w:cs="Arial"/>
          <w:noProof/>
          <w:sz w:val="16"/>
          <w:szCs w:val="16"/>
          <w:lang w:val="fr-FR" w:eastAsia="en-US"/>
        </w:rPr>
        <w:t>. Le prospectus ainsi que les derniers documents annuels périodiques sont adressés gratuitement dans un délai de 8 jours ouvrés sur simple demande écrite auprès de :</w:t>
      </w:r>
    </w:p>
    <w:p w:rsidR="00C344A7" w:rsidRPr="00F9423A" w:rsidRDefault="00C344A7" w:rsidP="00C344A7">
      <w:pPr>
        <w:spacing w:after="0" w:line="240" w:lineRule="auto"/>
        <w:jc w:val="both"/>
        <w:rPr>
          <w:rFonts w:ascii="Arial" w:eastAsia="Arial" w:hAnsi="Arial" w:cs="Arial"/>
          <w:b/>
          <w:noProof/>
          <w:sz w:val="4"/>
          <w:szCs w:val="4"/>
          <w:lang w:val="fr-FR" w:eastAsia="en-US"/>
        </w:rPr>
      </w:pPr>
    </w:p>
    <w:p w:rsidR="00C344A7" w:rsidRDefault="00C344A7" w:rsidP="00C344A7">
      <w:pPr>
        <w:spacing w:after="0" w:line="240" w:lineRule="auto"/>
        <w:jc w:val="both"/>
        <w:rPr>
          <w:rFonts w:ascii="Arial" w:eastAsia="Arial" w:hAnsi="Arial" w:cs="Arial"/>
          <w:b/>
          <w:sz w:val="16"/>
          <w:szCs w:val="16"/>
          <w:lang w:val="fr-FR" w:eastAsia="en-US"/>
        </w:rPr>
      </w:pPr>
      <w:r>
        <w:rPr>
          <w:rFonts w:ascii="Arial" w:eastAsia="Arial" w:hAnsi="Arial" w:cs="Arial"/>
          <w:b/>
          <w:noProof/>
          <w:sz w:val="16"/>
          <w:szCs w:val="16"/>
          <w:lang w:val="fr-FR" w:eastAsia="en-US"/>
        </w:rPr>
        <w:t>GSD GESTION - 37 Rue de Liège, 75008 Paris</w:t>
      </w:r>
    </w:p>
    <w:p w:rsidR="00B440F8" w:rsidRPr="000A5537" w:rsidRDefault="00B440F8" w:rsidP="00C344A7">
      <w:pPr>
        <w:spacing w:after="0" w:line="240" w:lineRule="auto"/>
        <w:jc w:val="both"/>
        <w:rPr>
          <w:rFonts w:ascii="Arial" w:eastAsia="Arial" w:hAnsi="Arial" w:cs="Arial"/>
          <w:noProof/>
          <w:sz w:val="16"/>
          <w:szCs w:val="16"/>
          <w:lang w:val="fr-FR" w:eastAsia="en-US"/>
        </w:rPr>
      </w:pPr>
    </w:p>
    <w:p w:rsidR="00CA74EA" w:rsidRDefault="00FE0A1C" w:rsidP="00F34D65">
      <w:pPr>
        <w:widowControl w:val="0"/>
        <w:autoSpaceDE w:val="0"/>
        <w:autoSpaceDN w:val="0"/>
        <w:adjustRightInd w:val="0"/>
        <w:spacing w:after="0" w:line="240" w:lineRule="auto"/>
        <w:jc w:val="both"/>
        <w:rPr>
          <w:rFonts w:ascii="Arial" w:eastAsia="Arial" w:hAnsi="Arial" w:cs="Arial"/>
          <w:noProof/>
          <w:sz w:val="16"/>
          <w:szCs w:val="16"/>
          <w:lang w:val="fr-FR" w:eastAsia="en-US"/>
        </w:rPr>
      </w:pPr>
      <w:r w:rsidRPr="00FE0A1C">
        <w:rPr>
          <w:rFonts w:ascii="Arial" w:eastAsia="Arial" w:hAnsi="Arial" w:cs="Arial"/>
          <w:noProof/>
          <w:sz w:val="16"/>
          <w:szCs w:val="16"/>
          <w:lang w:val="fr-FR" w:eastAsia="en-US"/>
        </w:rPr>
        <w:t xml:space="preserve">Vous trouverez également des informations sur les performances passées du produit au cours des 10 années passées </w:t>
      </w:r>
      <w:r w:rsidRPr="000A5537">
        <w:rPr>
          <w:rFonts w:ascii="Arial" w:eastAsia="Arial" w:hAnsi="Arial" w:cs="Arial"/>
          <w:noProof/>
          <w:sz w:val="16"/>
          <w:szCs w:val="16"/>
          <w:lang w:val="fr-FR" w:eastAsia="en-US"/>
        </w:rPr>
        <w:t>et sur les calculs des scénarios de performance passés qui sont publiés mensuellement</w:t>
      </w:r>
      <w:r w:rsidRPr="00FE0A1C">
        <w:rPr>
          <w:rFonts w:ascii="Arial" w:eastAsia="Arial" w:hAnsi="Arial" w:cs="Arial"/>
          <w:noProof/>
          <w:sz w:val="16"/>
          <w:szCs w:val="16"/>
          <w:lang w:val="fr-FR" w:eastAsia="en-US"/>
        </w:rPr>
        <w:t xml:space="preserve"> sur notre site internet à l'adresse </w:t>
      </w:r>
      <w:hyperlink r:id="rId12" w:history="1">
        <w:r w:rsidR="00F34D65" w:rsidRPr="00BD7B6D">
          <w:rPr>
            <w:rStyle w:val="Lienhypertexte"/>
            <w:rFonts w:ascii="Arial" w:eastAsia="Arial" w:hAnsi="Arial" w:cs="Arial"/>
            <w:noProof/>
            <w:sz w:val="16"/>
            <w:szCs w:val="16"/>
            <w:lang w:val="fr-FR" w:eastAsia="en-US"/>
          </w:rPr>
          <w:t>https://www.gsdgestion.com</w:t>
        </w:r>
      </w:hyperlink>
      <w:r w:rsidR="00F34D65">
        <w:rPr>
          <w:rFonts w:ascii="Arial" w:eastAsia="Arial" w:hAnsi="Arial" w:cs="Arial"/>
          <w:noProof/>
          <w:sz w:val="16"/>
          <w:szCs w:val="16"/>
          <w:lang w:val="fr-FR" w:eastAsia="en-US"/>
        </w:rPr>
        <w:t>.</w:t>
      </w:r>
    </w:p>
    <w:p w:rsidR="00093BF3" w:rsidRPr="00093BF3" w:rsidRDefault="00093BF3" w:rsidP="00F34D65">
      <w:pPr>
        <w:widowControl w:val="0"/>
        <w:autoSpaceDE w:val="0"/>
        <w:autoSpaceDN w:val="0"/>
        <w:adjustRightInd w:val="0"/>
        <w:spacing w:after="0" w:line="240" w:lineRule="auto"/>
        <w:jc w:val="both"/>
        <w:rPr>
          <w:rFonts w:ascii="Arial" w:eastAsia="Arial" w:hAnsi="Arial" w:cs="Arial"/>
          <w:noProof/>
          <w:sz w:val="4"/>
          <w:szCs w:val="4"/>
          <w:lang w:val="fr-FR" w:eastAsia="en-US"/>
        </w:rPr>
      </w:pPr>
    </w:p>
    <w:p w:rsidR="00093BF3" w:rsidRDefault="00093BF3" w:rsidP="00093BF3">
      <w:pPr>
        <w:spacing w:after="0" w:line="240" w:lineRule="auto"/>
        <w:jc w:val="both"/>
        <w:rPr>
          <w:rFonts w:ascii="Arial" w:eastAsia="Arial" w:hAnsi="Arial" w:cs="Arial"/>
          <w:noProof/>
          <w:sz w:val="16"/>
          <w:szCs w:val="16"/>
          <w:lang w:val="fr-FR" w:eastAsia="en-US"/>
        </w:rPr>
      </w:pPr>
      <w:r w:rsidRPr="00212E46">
        <w:rPr>
          <w:rFonts w:ascii="Arial" w:eastAsia="Arial" w:hAnsi="Arial" w:cs="Arial"/>
          <w:noProof/>
          <w:sz w:val="16"/>
          <w:szCs w:val="16"/>
          <w:lang w:val="fr-FR" w:eastAsia="en-US"/>
        </w:rPr>
        <w:t>Lorsque ce produit est utilisé comme support en unité de compte d’un contrat d’assurance sur la vie ou de capitalisation, les informations complémentaires sur ce contrat, telles que les coûts du contrat, qui ne sont pas compris dans les coûts indiqués dans le présent document, le contact en cas de réclamation et ce qui se passe en cas de défaillance de l’entreprise d’assurance sont présentées dans le document d’informations clés de ce contrat obligatoirement remis par votre assureur ou courtier ou tout autre intermédiaire d’assurance conformément à son obligation légale.</w:t>
      </w:r>
    </w:p>
    <w:p w:rsidR="00093BF3" w:rsidRPr="00F243CA" w:rsidRDefault="00093BF3" w:rsidP="00F34D65">
      <w:pPr>
        <w:widowControl w:val="0"/>
        <w:autoSpaceDE w:val="0"/>
        <w:autoSpaceDN w:val="0"/>
        <w:adjustRightInd w:val="0"/>
        <w:spacing w:after="0" w:line="240" w:lineRule="auto"/>
        <w:jc w:val="both"/>
        <w:rPr>
          <w:rFonts w:ascii="Arial" w:eastAsia="Arial" w:hAnsi="Arial" w:cs="Arial"/>
          <w:sz w:val="4"/>
          <w:szCs w:val="4"/>
          <w:lang w:val="fr-FR" w:eastAsia="en-US"/>
        </w:rPr>
      </w:pPr>
    </w:p>
    <w:p w:rsidR="00B440F8" w:rsidRDefault="00B440F8">
      <w:pPr>
        <w:spacing w:after="0" w:line="240" w:lineRule="auto"/>
        <w:jc w:val="both"/>
        <w:rPr>
          <w:rFonts w:ascii="Arial" w:eastAsia="Arial" w:hAnsi="Arial" w:cs="Arial"/>
          <w:b/>
          <w:noProof/>
          <w:sz w:val="16"/>
          <w:szCs w:val="16"/>
          <w:lang w:val="fr-FR" w:eastAsia="en-US"/>
        </w:rPr>
      </w:pPr>
    </w:p>
    <w:p w:rsidR="00CA74EA" w:rsidRDefault="00265E1F">
      <w:pPr>
        <w:spacing w:after="0" w:line="240" w:lineRule="auto"/>
        <w:jc w:val="both"/>
        <w:rPr>
          <w:rFonts w:ascii="Arial" w:eastAsia="Arial" w:hAnsi="Arial" w:cs="Arial"/>
          <w:b/>
          <w:sz w:val="16"/>
          <w:szCs w:val="16"/>
          <w:lang w:val="fr-FR" w:eastAsia="en-US"/>
        </w:rPr>
      </w:pPr>
      <w:r>
        <w:rPr>
          <w:rFonts w:ascii="Arial" w:eastAsia="Arial" w:hAnsi="Arial" w:cs="Arial"/>
          <w:b/>
          <w:noProof/>
          <w:sz w:val="16"/>
          <w:szCs w:val="16"/>
          <w:lang w:val="fr-FR" w:eastAsia="en-US"/>
        </w:rPr>
        <w:t>La responsabilité de GSD GESTION ne peut être engagée que sur la base de déclarations contenues dans le présent document qui seraient trompeuses, inexactes ou non cohérentes avec les parties correspondantes du prospectus de l'OPCVM.</w:t>
      </w:r>
    </w:p>
    <w:p w:rsidR="00CA74EA" w:rsidRDefault="00CA74EA">
      <w:pPr>
        <w:spacing w:after="0" w:line="240" w:lineRule="auto"/>
        <w:jc w:val="both"/>
        <w:rPr>
          <w:rFonts w:ascii="Arial" w:eastAsia="Arial" w:hAnsi="Arial" w:cs="Arial"/>
          <w:sz w:val="16"/>
          <w:szCs w:val="16"/>
          <w:lang w:val="fr-FR" w:eastAsia="en-US"/>
        </w:rPr>
        <w:sectPr w:rsidR="00CA74EA">
          <w:headerReference w:type="default" r:id="rId13"/>
          <w:footerReference w:type="default" r:id="rId14"/>
          <w:headerReference w:type="first" r:id="rId15"/>
          <w:footerReference w:type="first" r:id="rId16"/>
          <w:pgSz w:w="11906" w:h="16838"/>
          <w:pgMar w:top="284" w:right="397" w:bottom="397" w:left="397" w:header="284" w:footer="709" w:gutter="0"/>
          <w:cols w:space="708"/>
          <w:titlePg/>
          <w:docGrid w:linePitch="360"/>
        </w:sectPr>
      </w:pPr>
    </w:p>
    <w:p w:rsidR="00CA74EA" w:rsidRDefault="00CA74EA">
      <w:pPr>
        <w:shd w:val="clear" w:color="auto" w:fill="FFFFFF"/>
        <w:tabs>
          <w:tab w:val="left" w:pos="1410"/>
        </w:tabs>
        <w:spacing w:after="0"/>
        <w:jc w:val="both"/>
        <w:rPr>
          <w:rFonts w:ascii="Arial" w:eastAsia="Arial" w:hAnsi="Arial" w:cs="Arial"/>
          <w:sz w:val="2"/>
          <w:szCs w:val="2"/>
          <w:lang w:val="fr-FR" w:eastAsia="en-US"/>
        </w:rPr>
      </w:pPr>
    </w:p>
    <w:sectPr w:rsidR="00CA74EA">
      <w:type w:val="continuous"/>
      <w:pgSz w:w="11906" w:h="16838"/>
      <w:pgMar w:top="993" w:right="397" w:bottom="397" w:left="39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CAD" w:rsidRDefault="00647CAD">
      <w:pPr>
        <w:spacing w:after="0" w:line="240" w:lineRule="auto"/>
      </w:pPr>
      <w:r>
        <w:separator/>
      </w:r>
    </w:p>
  </w:endnote>
  <w:endnote w:type="continuationSeparator" w:id="0">
    <w:p w:rsidR="00647CAD" w:rsidRDefault="0064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209607"/>
      <w:docPartObj>
        <w:docPartGallery w:val="Page Numbers (Bottom of Page)"/>
        <w:docPartUnique/>
      </w:docPartObj>
    </w:sdtPr>
    <w:sdtEndPr>
      <w:rPr>
        <w:rFonts w:ascii="Garamond" w:hAnsi="Garamond"/>
        <w:sz w:val="16"/>
        <w:szCs w:val="16"/>
      </w:rPr>
    </w:sdtEndPr>
    <w:sdtContent>
      <w:p w:rsidR="00647CAD" w:rsidRDefault="00647CAD">
        <w:pPr>
          <w:pStyle w:val="Pieddepage"/>
          <w:jc w:val="center"/>
          <w:rPr>
            <w:rFonts w:ascii="Garamond" w:hAnsi="Garamond"/>
            <w:sz w:val="16"/>
            <w:szCs w:val="16"/>
          </w:rPr>
        </w:pPr>
        <w:r>
          <w:rPr>
            <w:rFonts w:ascii="Garamond" w:hAnsi="Garamond"/>
            <w:sz w:val="16"/>
            <w:szCs w:val="16"/>
          </w:rPr>
          <w:fldChar w:fldCharType="begin"/>
        </w:r>
        <w:r>
          <w:rPr>
            <w:rFonts w:ascii="Garamond" w:hAnsi="Garamond"/>
            <w:sz w:val="16"/>
            <w:szCs w:val="16"/>
          </w:rPr>
          <w:instrText>PAGE   \* MERGEFORMAT</w:instrText>
        </w:r>
        <w:r>
          <w:rPr>
            <w:rFonts w:ascii="Garamond" w:hAnsi="Garamond"/>
            <w:sz w:val="16"/>
            <w:szCs w:val="16"/>
          </w:rPr>
          <w:fldChar w:fldCharType="separate"/>
        </w:r>
        <w:r w:rsidR="00636B16">
          <w:rPr>
            <w:rFonts w:ascii="Garamond" w:hAnsi="Garamond"/>
            <w:noProof/>
            <w:sz w:val="16"/>
            <w:szCs w:val="16"/>
          </w:rPr>
          <w:t>3</w:t>
        </w:r>
        <w:r>
          <w:rPr>
            <w:rFonts w:ascii="Garamond" w:hAnsi="Garamond"/>
            <w:sz w:val="16"/>
            <w:szCs w:val="16"/>
          </w:rPr>
          <w:fldChar w:fldCharType="end"/>
        </w:r>
      </w:p>
    </w:sdtContent>
  </w:sdt>
  <w:p w:rsidR="00647CAD" w:rsidRDefault="00647C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352556"/>
      <w:docPartObj>
        <w:docPartGallery w:val="Page Numbers (Bottom of Page)"/>
        <w:docPartUnique/>
      </w:docPartObj>
    </w:sdtPr>
    <w:sdtEndPr>
      <w:rPr>
        <w:rFonts w:ascii="Garamond" w:hAnsi="Garamond"/>
        <w:sz w:val="16"/>
        <w:szCs w:val="16"/>
      </w:rPr>
    </w:sdtEndPr>
    <w:sdtContent>
      <w:p w:rsidR="00647CAD" w:rsidRDefault="00647CAD">
        <w:pPr>
          <w:pStyle w:val="Pieddepage"/>
          <w:jc w:val="center"/>
          <w:rPr>
            <w:rFonts w:ascii="Garamond" w:hAnsi="Garamond"/>
            <w:sz w:val="16"/>
            <w:szCs w:val="16"/>
          </w:rPr>
        </w:pPr>
        <w:r>
          <w:rPr>
            <w:rFonts w:ascii="Garamond" w:hAnsi="Garamond"/>
            <w:sz w:val="16"/>
            <w:szCs w:val="16"/>
          </w:rPr>
          <w:fldChar w:fldCharType="begin"/>
        </w:r>
        <w:r>
          <w:rPr>
            <w:rFonts w:ascii="Garamond" w:hAnsi="Garamond"/>
            <w:sz w:val="16"/>
            <w:szCs w:val="16"/>
          </w:rPr>
          <w:instrText>PAGE   \* MERGEFORMAT</w:instrText>
        </w:r>
        <w:r>
          <w:rPr>
            <w:rFonts w:ascii="Garamond" w:hAnsi="Garamond"/>
            <w:sz w:val="16"/>
            <w:szCs w:val="16"/>
          </w:rPr>
          <w:fldChar w:fldCharType="separate"/>
        </w:r>
        <w:r w:rsidR="00636B16">
          <w:rPr>
            <w:rFonts w:ascii="Garamond" w:hAnsi="Garamond"/>
            <w:noProof/>
            <w:sz w:val="16"/>
            <w:szCs w:val="16"/>
          </w:rPr>
          <w:t>1</w:t>
        </w:r>
        <w:r>
          <w:rPr>
            <w:rFonts w:ascii="Garamond" w:hAnsi="Garamond"/>
            <w:sz w:val="16"/>
            <w:szCs w:val="16"/>
          </w:rPr>
          <w:fldChar w:fldCharType="end"/>
        </w:r>
      </w:p>
    </w:sdtContent>
  </w:sdt>
  <w:p w:rsidR="00647CAD" w:rsidRDefault="00647CAD">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CAD" w:rsidRDefault="00647CAD">
      <w:pPr>
        <w:spacing w:after="0" w:line="240" w:lineRule="auto"/>
      </w:pPr>
      <w:r>
        <w:separator/>
      </w:r>
    </w:p>
  </w:footnote>
  <w:footnote w:type="continuationSeparator" w:id="0">
    <w:p w:rsidR="00647CAD" w:rsidRDefault="00647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CAD" w:rsidRDefault="00647CAD">
    <w:pPr>
      <w:pStyle w:val="En-tte"/>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CAD" w:rsidRDefault="00647CAD">
    <w:pPr>
      <w:pStyle w:val="En-tte"/>
      <w:tabs>
        <w:tab w:val="clear" w:pos="4536"/>
        <w:tab w:val="clear" w:pos="9072"/>
        <w:tab w:val="center" w:pos="4253"/>
      </w:tabs>
      <w:jc w:val="center"/>
    </w:pPr>
  </w:p>
  <w:p w:rsidR="00647CAD" w:rsidRDefault="00647CAD">
    <w:pPr>
      <w:pStyle w:val="En-tte"/>
      <w:tabs>
        <w:tab w:val="clear" w:pos="4536"/>
        <w:tab w:val="clear" w:pos="9072"/>
        <w:tab w:val="center" w:pos="4253"/>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677C4"/>
    <w:multiLevelType w:val="hybridMultilevel"/>
    <w:tmpl w:val="F588113E"/>
    <w:lvl w:ilvl="0" w:tplc="1FDEF9DC">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EA"/>
    <w:rsid w:val="00062971"/>
    <w:rsid w:val="00093BF3"/>
    <w:rsid w:val="000A5537"/>
    <w:rsid w:val="000D3BD3"/>
    <w:rsid w:val="00102642"/>
    <w:rsid w:val="0012406E"/>
    <w:rsid w:val="00131C95"/>
    <w:rsid w:val="001B7112"/>
    <w:rsid w:val="00265E1F"/>
    <w:rsid w:val="003115B9"/>
    <w:rsid w:val="003844A5"/>
    <w:rsid w:val="003A14CE"/>
    <w:rsid w:val="004077BB"/>
    <w:rsid w:val="0041546D"/>
    <w:rsid w:val="00455CBB"/>
    <w:rsid w:val="00456421"/>
    <w:rsid w:val="005C6FB8"/>
    <w:rsid w:val="00636B16"/>
    <w:rsid w:val="00647CAD"/>
    <w:rsid w:val="006D4A26"/>
    <w:rsid w:val="00790DC7"/>
    <w:rsid w:val="00835E27"/>
    <w:rsid w:val="00851855"/>
    <w:rsid w:val="00A13E2D"/>
    <w:rsid w:val="00A37FB8"/>
    <w:rsid w:val="00A6698B"/>
    <w:rsid w:val="00AF08CE"/>
    <w:rsid w:val="00B10C78"/>
    <w:rsid w:val="00B42AD0"/>
    <w:rsid w:val="00B440F8"/>
    <w:rsid w:val="00B51AFC"/>
    <w:rsid w:val="00BD09A4"/>
    <w:rsid w:val="00C344A7"/>
    <w:rsid w:val="00C4122B"/>
    <w:rsid w:val="00C80D65"/>
    <w:rsid w:val="00CA74EA"/>
    <w:rsid w:val="00D63515"/>
    <w:rsid w:val="00D9667B"/>
    <w:rsid w:val="00E938C0"/>
    <w:rsid w:val="00E94670"/>
    <w:rsid w:val="00F243CA"/>
    <w:rsid w:val="00F34D65"/>
    <w:rsid w:val="00F536AA"/>
    <w:rsid w:val="00FE0A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B2F2"/>
  <w15:docId w15:val="{69861E15-11D1-4EF6-97A9-7CCF5D3A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sz w:val="24"/>
      <w:szCs w:val="24"/>
      <w:lang w:val="en-US" w:eastAsia="uk-U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ba7da604-e403-476c-8bc4-cd1bad10bc0f">
    <w:name w:val="Normal Table_ba7da604-e403-476c-8bc4-cd1bad10bc0f"/>
    <w:uiPriority w:val="99"/>
    <w:semiHidden/>
    <w:unhideWhenUsed/>
    <w:tblPr>
      <w:tblInd w:w="0" w:type="dxa"/>
      <w:tblCellMar>
        <w:top w:w="0" w:type="dxa"/>
        <w:left w:w="108" w:type="dxa"/>
        <w:bottom w:w="0" w:type="dxa"/>
        <w:right w:w="108" w:type="dxa"/>
      </w:tblCellMar>
    </w:tblPr>
  </w:style>
  <w:style w:type="table" w:customStyle="1" w:styleId="TableGrid90c47221-96aa-4ae6-9a7e-6a3bf4a29b2d">
    <w:name w:val="Table Grid_90c47221-96aa-4ae6-9a7e-6a3bf4a29b2d"/>
    <w:basedOn w:val="NormalTableba7da604-e403-476c-8bc4-cd1bad10bc0f"/>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uiPriority w:val="99"/>
    <w:unhideWhenUsed/>
    <w:pPr>
      <w:tabs>
        <w:tab w:val="center" w:pos="4536"/>
        <w:tab w:val="right" w:pos="9072"/>
      </w:tabs>
      <w:spacing w:after="0" w:line="240" w:lineRule="auto"/>
    </w:pPr>
  </w:style>
  <w:style w:type="paragraph" w:styleId="Pieddepage">
    <w:name w:val="footer"/>
    <w:basedOn w:val="Normal"/>
    <w:uiPriority w:val="99"/>
    <w:unhideWhenUsed/>
    <w:pPr>
      <w:tabs>
        <w:tab w:val="center" w:pos="4536"/>
        <w:tab w:val="right" w:pos="9072"/>
      </w:tabs>
      <w:spacing w:after="0" w:line="240" w:lineRule="auto"/>
    </w:pPr>
  </w:style>
  <w:style w:type="paragraph" w:styleId="Paragraphedeliste">
    <w:name w:val="List Paragraph"/>
    <w:basedOn w:val="Normal"/>
    <w:uiPriority w:val="34"/>
    <w:qFormat/>
    <w:rsid w:val="00647CAD"/>
    <w:pPr>
      <w:ind w:left="720"/>
      <w:contextualSpacing/>
    </w:pPr>
  </w:style>
  <w:style w:type="character" w:styleId="Lienhypertexte">
    <w:name w:val="Hyperlink"/>
    <w:basedOn w:val="Policepardfaut"/>
    <w:uiPriority w:val="99"/>
    <w:unhideWhenUsed/>
    <w:rsid w:val="00790DC7"/>
    <w:rPr>
      <w:color w:val="0563C1" w:themeColor="hyperlink"/>
      <w:u w:val="single"/>
    </w:rPr>
  </w:style>
  <w:style w:type="paragraph" w:customStyle="1" w:styleId="Default">
    <w:name w:val="Default"/>
    <w:rsid w:val="004077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46417672">
      <w:bodyDiv w:val="1"/>
      <w:marLeft w:val="0"/>
      <w:marRight w:val="0"/>
      <w:marTop w:val="0"/>
      <w:marBottom w:val="0"/>
      <w:divBdr>
        <w:top w:val="none" w:sz="0" w:space="0" w:color="auto"/>
        <w:left w:val="none" w:sz="0" w:space="0" w:color="auto"/>
        <w:bottom w:val="none" w:sz="0" w:space="0" w:color="auto"/>
        <w:right w:val="none" w:sz="0" w:space="0" w:color="auto"/>
      </w:divBdr>
    </w:div>
    <w:div w:id="83262282">
      <w:bodyDiv w:val="1"/>
      <w:marLeft w:val="0"/>
      <w:marRight w:val="0"/>
      <w:marTop w:val="0"/>
      <w:marBottom w:val="0"/>
      <w:divBdr>
        <w:top w:val="none" w:sz="0" w:space="0" w:color="auto"/>
        <w:left w:val="none" w:sz="0" w:space="0" w:color="auto"/>
        <w:bottom w:val="none" w:sz="0" w:space="0" w:color="auto"/>
        <w:right w:val="none" w:sz="0" w:space="0" w:color="auto"/>
      </w:divBdr>
    </w:div>
    <w:div w:id="84569891">
      <w:bodyDiv w:val="1"/>
      <w:marLeft w:val="0"/>
      <w:marRight w:val="0"/>
      <w:marTop w:val="0"/>
      <w:marBottom w:val="0"/>
      <w:divBdr>
        <w:top w:val="none" w:sz="0" w:space="0" w:color="auto"/>
        <w:left w:val="none" w:sz="0" w:space="0" w:color="auto"/>
        <w:bottom w:val="none" w:sz="0" w:space="0" w:color="auto"/>
        <w:right w:val="none" w:sz="0" w:space="0" w:color="auto"/>
      </w:divBdr>
    </w:div>
    <w:div w:id="118960255">
      <w:bodyDiv w:val="1"/>
      <w:marLeft w:val="0"/>
      <w:marRight w:val="0"/>
      <w:marTop w:val="0"/>
      <w:marBottom w:val="0"/>
      <w:divBdr>
        <w:top w:val="none" w:sz="0" w:space="0" w:color="auto"/>
        <w:left w:val="none" w:sz="0" w:space="0" w:color="auto"/>
        <w:bottom w:val="none" w:sz="0" w:space="0" w:color="auto"/>
        <w:right w:val="none" w:sz="0" w:space="0" w:color="auto"/>
      </w:divBdr>
    </w:div>
    <w:div w:id="311256732">
      <w:bodyDiv w:val="1"/>
      <w:marLeft w:val="0"/>
      <w:marRight w:val="0"/>
      <w:marTop w:val="0"/>
      <w:marBottom w:val="0"/>
      <w:divBdr>
        <w:top w:val="none" w:sz="0" w:space="0" w:color="auto"/>
        <w:left w:val="none" w:sz="0" w:space="0" w:color="auto"/>
        <w:bottom w:val="none" w:sz="0" w:space="0" w:color="auto"/>
        <w:right w:val="none" w:sz="0" w:space="0" w:color="auto"/>
      </w:divBdr>
    </w:div>
    <w:div w:id="353658691">
      <w:bodyDiv w:val="1"/>
      <w:marLeft w:val="0"/>
      <w:marRight w:val="0"/>
      <w:marTop w:val="0"/>
      <w:marBottom w:val="0"/>
      <w:divBdr>
        <w:top w:val="none" w:sz="0" w:space="0" w:color="auto"/>
        <w:left w:val="none" w:sz="0" w:space="0" w:color="auto"/>
        <w:bottom w:val="none" w:sz="0" w:space="0" w:color="auto"/>
        <w:right w:val="none" w:sz="0" w:space="0" w:color="auto"/>
      </w:divBdr>
    </w:div>
    <w:div w:id="409622080">
      <w:bodyDiv w:val="1"/>
      <w:marLeft w:val="0"/>
      <w:marRight w:val="0"/>
      <w:marTop w:val="0"/>
      <w:marBottom w:val="0"/>
      <w:divBdr>
        <w:top w:val="none" w:sz="0" w:space="0" w:color="auto"/>
        <w:left w:val="none" w:sz="0" w:space="0" w:color="auto"/>
        <w:bottom w:val="none" w:sz="0" w:space="0" w:color="auto"/>
        <w:right w:val="none" w:sz="0" w:space="0" w:color="auto"/>
      </w:divBdr>
    </w:div>
    <w:div w:id="578367796">
      <w:bodyDiv w:val="1"/>
      <w:marLeft w:val="0"/>
      <w:marRight w:val="0"/>
      <w:marTop w:val="0"/>
      <w:marBottom w:val="0"/>
      <w:divBdr>
        <w:top w:val="none" w:sz="0" w:space="0" w:color="auto"/>
        <w:left w:val="none" w:sz="0" w:space="0" w:color="auto"/>
        <w:bottom w:val="none" w:sz="0" w:space="0" w:color="auto"/>
        <w:right w:val="none" w:sz="0" w:space="0" w:color="auto"/>
      </w:divBdr>
    </w:div>
    <w:div w:id="757099296">
      <w:bodyDiv w:val="1"/>
      <w:marLeft w:val="0"/>
      <w:marRight w:val="0"/>
      <w:marTop w:val="0"/>
      <w:marBottom w:val="0"/>
      <w:divBdr>
        <w:top w:val="none" w:sz="0" w:space="0" w:color="auto"/>
        <w:left w:val="none" w:sz="0" w:space="0" w:color="auto"/>
        <w:bottom w:val="none" w:sz="0" w:space="0" w:color="auto"/>
        <w:right w:val="none" w:sz="0" w:space="0" w:color="auto"/>
      </w:divBdr>
    </w:div>
    <w:div w:id="826021175">
      <w:bodyDiv w:val="1"/>
      <w:marLeft w:val="0"/>
      <w:marRight w:val="0"/>
      <w:marTop w:val="0"/>
      <w:marBottom w:val="0"/>
      <w:divBdr>
        <w:top w:val="none" w:sz="0" w:space="0" w:color="auto"/>
        <w:left w:val="none" w:sz="0" w:space="0" w:color="auto"/>
        <w:bottom w:val="none" w:sz="0" w:space="0" w:color="auto"/>
        <w:right w:val="none" w:sz="0" w:space="0" w:color="auto"/>
      </w:divBdr>
    </w:div>
    <w:div w:id="996030663">
      <w:bodyDiv w:val="1"/>
      <w:marLeft w:val="0"/>
      <w:marRight w:val="0"/>
      <w:marTop w:val="0"/>
      <w:marBottom w:val="0"/>
      <w:divBdr>
        <w:top w:val="none" w:sz="0" w:space="0" w:color="auto"/>
        <w:left w:val="none" w:sz="0" w:space="0" w:color="auto"/>
        <w:bottom w:val="none" w:sz="0" w:space="0" w:color="auto"/>
        <w:right w:val="none" w:sz="0" w:space="0" w:color="auto"/>
      </w:divBdr>
    </w:div>
    <w:div w:id="1076123408">
      <w:bodyDiv w:val="1"/>
      <w:marLeft w:val="0"/>
      <w:marRight w:val="0"/>
      <w:marTop w:val="0"/>
      <w:marBottom w:val="0"/>
      <w:divBdr>
        <w:top w:val="none" w:sz="0" w:space="0" w:color="auto"/>
        <w:left w:val="none" w:sz="0" w:space="0" w:color="auto"/>
        <w:bottom w:val="none" w:sz="0" w:space="0" w:color="auto"/>
        <w:right w:val="none" w:sz="0" w:space="0" w:color="auto"/>
      </w:divBdr>
    </w:div>
    <w:div w:id="1084255395">
      <w:bodyDiv w:val="1"/>
      <w:marLeft w:val="0"/>
      <w:marRight w:val="0"/>
      <w:marTop w:val="0"/>
      <w:marBottom w:val="0"/>
      <w:divBdr>
        <w:top w:val="none" w:sz="0" w:space="0" w:color="auto"/>
        <w:left w:val="none" w:sz="0" w:space="0" w:color="auto"/>
        <w:bottom w:val="none" w:sz="0" w:space="0" w:color="auto"/>
        <w:right w:val="none" w:sz="0" w:space="0" w:color="auto"/>
      </w:divBdr>
    </w:div>
    <w:div w:id="1156918426">
      <w:bodyDiv w:val="1"/>
      <w:marLeft w:val="0"/>
      <w:marRight w:val="0"/>
      <w:marTop w:val="0"/>
      <w:marBottom w:val="0"/>
      <w:divBdr>
        <w:top w:val="none" w:sz="0" w:space="0" w:color="auto"/>
        <w:left w:val="none" w:sz="0" w:space="0" w:color="auto"/>
        <w:bottom w:val="none" w:sz="0" w:space="0" w:color="auto"/>
        <w:right w:val="none" w:sz="0" w:space="0" w:color="auto"/>
      </w:divBdr>
    </w:div>
    <w:div w:id="1383209520">
      <w:bodyDiv w:val="1"/>
      <w:marLeft w:val="0"/>
      <w:marRight w:val="0"/>
      <w:marTop w:val="0"/>
      <w:marBottom w:val="0"/>
      <w:divBdr>
        <w:top w:val="none" w:sz="0" w:space="0" w:color="auto"/>
        <w:left w:val="none" w:sz="0" w:space="0" w:color="auto"/>
        <w:bottom w:val="none" w:sz="0" w:space="0" w:color="auto"/>
        <w:right w:val="none" w:sz="0" w:space="0" w:color="auto"/>
      </w:divBdr>
    </w:div>
    <w:div w:id="1429691325">
      <w:bodyDiv w:val="1"/>
      <w:marLeft w:val="0"/>
      <w:marRight w:val="0"/>
      <w:marTop w:val="0"/>
      <w:marBottom w:val="0"/>
      <w:divBdr>
        <w:top w:val="none" w:sz="0" w:space="0" w:color="auto"/>
        <w:left w:val="none" w:sz="0" w:space="0" w:color="auto"/>
        <w:bottom w:val="none" w:sz="0" w:space="0" w:color="auto"/>
        <w:right w:val="none" w:sz="0" w:space="0" w:color="auto"/>
      </w:divBdr>
    </w:div>
    <w:div w:id="1932009856">
      <w:bodyDiv w:val="1"/>
      <w:marLeft w:val="0"/>
      <w:marRight w:val="0"/>
      <w:marTop w:val="0"/>
      <w:marBottom w:val="0"/>
      <w:divBdr>
        <w:top w:val="none" w:sz="0" w:space="0" w:color="auto"/>
        <w:left w:val="none" w:sz="0" w:space="0" w:color="auto"/>
        <w:bottom w:val="none" w:sz="0" w:space="0" w:color="auto"/>
        <w:right w:val="none" w:sz="0" w:space="0" w:color="auto"/>
      </w:divBdr>
    </w:div>
    <w:div w:id="1961180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sdgestion.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sdgestion.com" TargetMode="External"/><Relationship Id="rId12" Type="http://schemas.openxmlformats.org/officeDocument/2006/relationships/hyperlink" Target="https://www.gsdgest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sdgestion.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sdgestion.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2860</Words>
  <Characters>15732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LEBREUILLY Aurélien</dc:creator>
  <cp:lastModifiedBy>LEBREUILLY Aurélien</cp:lastModifiedBy>
  <cp:revision>3</cp:revision>
  <dcterms:created xsi:type="dcterms:W3CDTF">2024-08-29T16:53:00Z</dcterms:created>
  <dcterms:modified xsi:type="dcterms:W3CDTF">2024-08-29T16:59:00Z</dcterms:modified>
</cp:coreProperties>
</file>